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5E" w:rsidRPr="001C6218" w:rsidRDefault="0067085E" w:rsidP="0067085E">
      <w:pPr>
        <w:jc w:val="center"/>
        <w:rPr>
          <w:rFonts w:ascii="Times New Roman" w:hAnsi="Times New Roman"/>
          <w:sz w:val="28"/>
          <w:szCs w:val="28"/>
        </w:rPr>
      </w:pPr>
      <w:r w:rsidRPr="001C6218">
        <w:rPr>
          <w:rFonts w:ascii="Times New Roman" w:hAnsi="Times New Roman"/>
          <w:sz w:val="28"/>
          <w:szCs w:val="28"/>
        </w:rPr>
        <w:t xml:space="preserve">Государственное бюджетное образовательное учреждение </w:t>
      </w:r>
    </w:p>
    <w:p w:rsidR="0067085E" w:rsidRPr="001C6218" w:rsidRDefault="0067085E" w:rsidP="0067085E">
      <w:pPr>
        <w:jc w:val="center"/>
        <w:rPr>
          <w:rFonts w:ascii="Times New Roman" w:hAnsi="Times New Roman"/>
          <w:sz w:val="28"/>
          <w:szCs w:val="28"/>
        </w:rPr>
      </w:pPr>
      <w:r w:rsidRPr="001C6218">
        <w:rPr>
          <w:rFonts w:ascii="Times New Roman" w:hAnsi="Times New Roman"/>
          <w:sz w:val="28"/>
          <w:szCs w:val="28"/>
        </w:rPr>
        <w:t xml:space="preserve">средняя общеобразовательная школа </w:t>
      </w:r>
    </w:p>
    <w:p w:rsidR="0067085E" w:rsidRPr="001C6218" w:rsidRDefault="0067085E" w:rsidP="0067085E">
      <w:pPr>
        <w:jc w:val="center"/>
        <w:rPr>
          <w:rFonts w:ascii="Times New Roman" w:hAnsi="Times New Roman"/>
          <w:sz w:val="28"/>
          <w:szCs w:val="28"/>
        </w:rPr>
      </w:pPr>
      <w:r w:rsidRPr="001C6218">
        <w:rPr>
          <w:rFonts w:ascii="Times New Roman" w:hAnsi="Times New Roman"/>
          <w:sz w:val="28"/>
          <w:szCs w:val="28"/>
        </w:rPr>
        <w:t>с углубленным изучением экономики №240</w:t>
      </w:r>
    </w:p>
    <w:p w:rsidR="0067085E" w:rsidRPr="001C6218" w:rsidRDefault="0067085E" w:rsidP="0067085E">
      <w:pPr>
        <w:jc w:val="center"/>
        <w:rPr>
          <w:rFonts w:ascii="Times New Roman" w:hAnsi="Times New Roman"/>
          <w:sz w:val="28"/>
          <w:szCs w:val="28"/>
        </w:rPr>
      </w:pPr>
    </w:p>
    <w:p w:rsidR="0067085E" w:rsidRPr="001C6218" w:rsidRDefault="0067085E" w:rsidP="0067085E">
      <w:pPr>
        <w:jc w:val="center"/>
        <w:rPr>
          <w:rFonts w:ascii="Times New Roman" w:hAnsi="Times New Roman"/>
          <w:sz w:val="28"/>
          <w:szCs w:val="28"/>
        </w:rPr>
      </w:pPr>
    </w:p>
    <w:p w:rsidR="0067085E" w:rsidRPr="001C6218" w:rsidRDefault="0067085E" w:rsidP="0067085E">
      <w:pPr>
        <w:jc w:val="center"/>
        <w:rPr>
          <w:rFonts w:ascii="Times New Roman" w:hAnsi="Times New Roman"/>
          <w:sz w:val="28"/>
          <w:szCs w:val="28"/>
        </w:rPr>
      </w:pPr>
    </w:p>
    <w:p w:rsidR="0067085E" w:rsidRDefault="0067085E" w:rsidP="0067085E">
      <w:pPr>
        <w:rPr>
          <w:rFonts w:ascii="Times New Roman" w:hAnsi="Times New Roman"/>
          <w:sz w:val="28"/>
          <w:szCs w:val="28"/>
        </w:rPr>
      </w:pPr>
    </w:p>
    <w:p w:rsidR="005707A3" w:rsidRPr="00E16D98" w:rsidRDefault="005707A3" w:rsidP="005707A3">
      <w:pPr>
        <w:spacing w:line="480" w:lineRule="auto"/>
        <w:jc w:val="center"/>
        <w:rPr>
          <w:rFonts w:ascii="Times New Roman" w:hAnsi="Times New Roman"/>
          <w:b/>
          <w:sz w:val="28"/>
          <w:szCs w:val="28"/>
        </w:rPr>
      </w:pPr>
      <w:r>
        <w:rPr>
          <w:rFonts w:ascii="Times New Roman" w:hAnsi="Times New Roman"/>
          <w:b/>
          <w:sz w:val="28"/>
          <w:szCs w:val="28"/>
          <w:lang w:val="en-US"/>
        </w:rPr>
        <w:t>XVI</w:t>
      </w:r>
      <w:r w:rsidRPr="00040FDF">
        <w:rPr>
          <w:rFonts w:ascii="Times New Roman" w:hAnsi="Times New Roman"/>
          <w:b/>
          <w:sz w:val="28"/>
          <w:szCs w:val="28"/>
        </w:rPr>
        <w:t xml:space="preserve"> </w:t>
      </w:r>
      <w:r>
        <w:rPr>
          <w:rFonts w:ascii="Times New Roman" w:hAnsi="Times New Roman"/>
          <w:b/>
          <w:sz w:val="28"/>
          <w:szCs w:val="28"/>
        </w:rPr>
        <w:t>г</w:t>
      </w:r>
      <w:r w:rsidRPr="00E16D98">
        <w:rPr>
          <w:rFonts w:ascii="Times New Roman" w:hAnsi="Times New Roman"/>
          <w:b/>
          <w:sz w:val="28"/>
          <w:szCs w:val="28"/>
        </w:rPr>
        <w:t>ородская открытая научно-практическая конференция</w:t>
      </w:r>
    </w:p>
    <w:p w:rsidR="005707A3" w:rsidRPr="00E16D98" w:rsidRDefault="005707A3" w:rsidP="005707A3">
      <w:pPr>
        <w:spacing w:line="480" w:lineRule="auto"/>
        <w:jc w:val="center"/>
        <w:rPr>
          <w:rFonts w:ascii="Times New Roman" w:hAnsi="Times New Roman"/>
          <w:sz w:val="28"/>
          <w:szCs w:val="28"/>
        </w:rPr>
      </w:pPr>
      <w:r w:rsidRPr="00E16D98">
        <w:rPr>
          <w:rFonts w:ascii="Times New Roman" w:hAnsi="Times New Roman"/>
          <w:b/>
          <w:sz w:val="28"/>
          <w:szCs w:val="28"/>
        </w:rPr>
        <w:t>старшеклассников по экономике и предпринимательству</w:t>
      </w:r>
    </w:p>
    <w:p w:rsidR="0067085E" w:rsidRDefault="0067085E" w:rsidP="0067085E">
      <w:pPr>
        <w:spacing w:before="120" w:after="120"/>
        <w:rPr>
          <w:rFonts w:ascii="Times New Roman" w:hAnsi="Times New Roman"/>
          <w:sz w:val="28"/>
          <w:szCs w:val="28"/>
        </w:rPr>
      </w:pPr>
    </w:p>
    <w:p w:rsidR="0067085E" w:rsidRPr="0067085E" w:rsidRDefault="0067085E" w:rsidP="0067085E">
      <w:pPr>
        <w:pStyle w:val="p1"/>
        <w:spacing w:before="120" w:beforeAutospacing="0" w:after="120" w:afterAutospacing="0"/>
        <w:jc w:val="center"/>
        <w:rPr>
          <w:b/>
          <w:caps/>
          <w:sz w:val="28"/>
          <w:szCs w:val="28"/>
        </w:rPr>
      </w:pPr>
      <w:r w:rsidRPr="0067085E">
        <w:rPr>
          <w:rStyle w:val="s1"/>
          <w:b/>
          <w:caps/>
          <w:sz w:val="28"/>
          <w:szCs w:val="28"/>
        </w:rPr>
        <w:t>Роль безналичных расчетов в экономике</w:t>
      </w: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b/>
          <w:sz w:val="28"/>
          <w:szCs w:val="28"/>
        </w:rPr>
      </w:pPr>
    </w:p>
    <w:p w:rsidR="0067085E" w:rsidRPr="001C6218" w:rsidRDefault="0067085E" w:rsidP="0067085E">
      <w:pPr>
        <w:pStyle w:val="p1"/>
        <w:spacing w:before="0" w:beforeAutospacing="0" w:after="0" w:afterAutospacing="0"/>
        <w:jc w:val="right"/>
        <w:rPr>
          <w:rStyle w:val="s2"/>
          <w:sz w:val="28"/>
          <w:szCs w:val="28"/>
        </w:rPr>
      </w:pPr>
    </w:p>
    <w:p w:rsidR="0067085E" w:rsidRPr="001C6218" w:rsidRDefault="0067085E" w:rsidP="0067085E">
      <w:pPr>
        <w:pStyle w:val="p1"/>
        <w:spacing w:before="0" w:beforeAutospacing="0" w:after="0" w:afterAutospacing="0"/>
        <w:jc w:val="right"/>
        <w:rPr>
          <w:sz w:val="28"/>
          <w:szCs w:val="28"/>
        </w:rPr>
      </w:pPr>
      <w:r w:rsidRPr="001C6218">
        <w:rPr>
          <w:rStyle w:val="s2"/>
          <w:sz w:val="28"/>
          <w:szCs w:val="28"/>
        </w:rPr>
        <w:t xml:space="preserve">Автор работы: </w:t>
      </w:r>
      <w:r>
        <w:rPr>
          <w:rStyle w:val="s2"/>
          <w:sz w:val="28"/>
          <w:szCs w:val="28"/>
        </w:rPr>
        <w:t xml:space="preserve">Сергиенко Анастасия </w:t>
      </w:r>
      <w:r w:rsidR="006F2666">
        <w:rPr>
          <w:rStyle w:val="s2"/>
          <w:sz w:val="28"/>
          <w:szCs w:val="28"/>
        </w:rPr>
        <w:t xml:space="preserve">Дмитриевна </w:t>
      </w:r>
      <w:r>
        <w:rPr>
          <w:rStyle w:val="s2"/>
          <w:sz w:val="28"/>
          <w:szCs w:val="28"/>
        </w:rPr>
        <w:t>10а класс</w:t>
      </w:r>
    </w:p>
    <w:p w:rsidR="0067085E" w:rsidRPr="001C6218" w:rsidRDefault="0067085E" w:rsidP="0067085E">
      <w:pPr>
        <w:pStyle w:val="p1"/>
        <w:spacing w:before="0" w:beforeAutospacing="0" w:after="0" w:afterAutospacing="0"/>
        <w:jc w:val="right"/>
        <w:rPr>
          <w:rStyle w:val="s2"/>
          <w:sz w:val="28"/>
          <w:szCs w:val="28"/>
        </w:rPr>
      </w:pPr>
    </w:p>
    <w:p w:rsidR="0067085E" w:rsidRPr="001C6218" w:rsidRDefault="0067085E" w:rsidP="0067085E">
      <w:pPr>
        <w:pStyle w:val="p1"/>
        <w:spacing w:before="0" w:beforeAutospacing="0" w:after="0" w:afterAutospacing="0"/>
        <w:jc w:val="right"/>
        <w:rPr>
          <w:sz w:val="28"/>
          <w:szCs w:val="28"/>
        </w:rPr>
      </w:pPr>
      <w:r w:rsidRPr="001C6218">
        <w:rPr>
          <w:rStyle w:val="s2"/>
          <w:sz w:val="28"/>
          <w:szCs w:val="28"/>
        </w:rPr>
        <w:t xml:space="preserve">Руководитель: </w:t>
      </w:r>
      <w:proofErr w:type="spellStart"/>
      <w:r w:rsidRPr="001C6218">
        <w:rPr>
          <w:rStyle w:val="s2"/>
          <w:sz w:val="28"/>
          <w:szCs w:val="28"/>
        </w:rPr>
        <w:t>Еремеева</w:t>
      </w:r>
      <w:proofErr w:type="spellEnd"/>
      <w:r w:rsidRPr="001C6218">
        <w:rPr>
          <w:rStyle w:val="s2"/>
          <w:sz w:val="28"/>
          <w:szCs w:val="28"/>
        </w:rPr>
        <w:t xml:space="preserve"> Ольга Александровна</w:t>
      </w:r>
    </w:p>
    <w:p w:rsidR="0067085E" w:rsidRPr="001C6218" w:rsidRDefault="0067085E" w:rsidP="0067085E">
      <w:pPr>
        <w:jc w:val="center"/>
        <w:rPr>
          <w:rFonts w:ascii="Times New Roman" w:hAnsi="Times New Roman"/>
        </w:rPr>
      </w:pPr>
    </w:p>
    <w:p w:rsidR="0067085E" w:rsidRDefault="0067085E"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F20509" w:rsidRDefault="00F20509" w:rsidP="0067085E">
      <w:pPr>
        <w:jc w:val="center"/>
        <w:rPr>
          <w:rFonts w:ascii="Times New Roman" w:hAnsi="Times New Roman"/>
          <w:sz w:val="28"/>
          <w:szCs w:val="28"/>
        </w:rPr>
      </w:pPr>
    </w:p>
    <w:p w:rsidR="0067085E" w:rsidRDefault="0067085E" w:rsidP="0067085E">
      <w:pPr>
        <w:jc w:val="center"/>
        <w:rPr>
          <w:rFonts w:ascii="Times New Roman" w:hAnsi="Times New Roman"/>
          <w:sz w:val="28"/>
          <w:szCs w:val="28"/>
        </w:rPr>
      </w:pPr>
    </w:p>
    <w:p w:rsidR="0067085E" w:rsidRDefault="0067085E" w:rsidP="0067085E">
      <w:pPr>
        <w:jc w:val="center"/>
        <w:rPr>
          <w:rFonts w:ascii="Times New Roman" w:hAnsi="Times New Roman"/>
          <w:sz w:val="28"/>
          <w:szCs w:val="28"/>
        </w:rPr>
      </w:pPr>
      <w:r>
        <w:rPr>
          <w:rFonts w:ascii="Times New Roman" w:hAnsi="Times New Roman"/>
          <w:sz w:val="28"/>
          <w:szCs w:val="28"/>
        </w:rPr>
        <w:t>2013 г.</w:t>
      </w:r>
    </w:p>
    <w:p w:rsidR="0067085E" w:rsidRPr="00F60AA0" w:rsidRDefault="0067085E" w:rsidP="0067085E">
      <w:pPr>
        <w:rPr>
          <w:rFonts w:ascii="Times New Roman" w:hAnsi="Times New Roman"/>
        </w:rPr>
      </w:pPr>
      <w:r>
        <w:rPr>
          <w:rFonts w:ascii="Times New Roman" w:hAnsi="Times New Roman"/>
          <w:sz w:val="28"/>
          <w:szCs w:val="28"/>
        </w:rPr>
        <w:br w:type="page"/>
      </w:r>
    </w:p>
    <w:p w:rsidR="0067085E" w:rsidRPr="00F60AA0" w:rsidRDefault="0067085E" w:rsidP="0067085E">
      <w:pPr>
        <w:jc w:val="center"/>
        <w:rPr>
          <w:rFonts w:ascii="Times New Roman" w:hAnsi="Times New Roman"/>
          <w:b/>
        </w:rPr>
      </w:pPr>
      <w:r w:rsidRPr="00F60AA0">
        <w:rPr>
          <w:rFonts w:ascii="Times New Roman" w:hAnsi="Times New Roman"/>
          <w:b/>
        </w:rPr>
        <w:t>Содержание  работы</w:t>
      </w:r>
    </w:p>
    <w:p w:rsidR="00F20509" w:rsidRDefault="00F20509" w:rsidP="0067085E">
      <w:pPr>
        <w:rPr>
          <w:rFonts w:ascii="Times New Roman" w:hAnsi="Times New Roman"/>
        </w:rPr>
      </w:pPr>
    </w:p>
    <w:p w:rsidR="0067085E" w:rsidRPr="00F60AA0" w:rsidRDefault="0067085E" w:rsidP="0067085E">
      <w:pPr>
        <w:rPr>
          <w:rFonts w:ascii="Times New Roman" w:hAnsi="Times New Roman"/>
        </w:rPr>
      </w:pPr>
      <w:r w:rsidRPr="00F60AA0">
        <w:rPr>
          <w:rFonts w:ascii="Times New Roman" w:hAnsi="Times New Roman"/>
        </w:rPr>
        <w:t xml:space="preserve">1. </w:t>
      </w:r>
      <w:r w:rsidR="00F20509">
        <w:rPr>
          <w:rFonts w:ascii="Times New Roman" w:hAnsi="Times New Roman"/>
        </w:rPr>
        <w:t>Понятие безналичных расчетов.</w:t>
      </w:r>
    </w:p>
    <w:p w:rsidR="0067085E" w:rsidRPr="00F60AA0" w:rsidRDefault="0067085E" w:rsidP="0067085E">
      <w:pPr>
        <w:rPr>
          <w:rFonts w:ascii="Times New Roman" w:hAnsi="Times New Roman"/>
        </w:rPr>
      </w:pPr>
      <w:r w:rsidRPr="00F60AA0">
        <w:rPr>
          <w:rFonts w:ascii="Times New Roman" w:hAnsi="Times New Roman"/>
        </w:rPr>
        <w:t xml:space="preserve">2. </w:t>
      </w:r>
      <w:r w:rsidR="00F20509">
        <w:rPr>
          <w:rFonts w:ascii="Times New Roman" w:hAnsi="Times New Roman"/>
        </w:rPr>
        <w:t>Плюсы и минусы безналичных расчетов</w:t>
      </w:r>
      <w:r w:rsidR="00A20DDD">
        <w:rPr>
          <w:rFonts w:ascii="Times New Roman" w:hAnsi="Times New Roman"/>
        </w:rPr>
        <w:t>.</w:t>
      </w:r>
    </w:p>
    <w:p w:rsidR="0067085E" w:rsidRPr="00F60AA0" w:rsidRDefault="0067085E" w:rsidP="0067085E">
      <w:pPr>
        <w:rPr>
          <w:rFonts w:ascii="Times New Roman" w:hAnsi="Times New Roman"/>
        </w:rPr>
      </w:pPr>
      <w:r w:rsidRPr="00F60AA0">
        <w:rPr>
          <w:rFonts w:ascii="Times New Roman" w:hAnsi="Times New Roman"/>
        </w:rPr>
        <w:t xml:space="preserve">3. </w:t>
      </w:r>
      <w:r w:rsidR="00F20509">
        <w:rPr>
          <w:rFonts w:ascii="Times New Roman" w:hAnsi="Times New Roman"/>
        </w:rPr>
        <w:t>Виды безналичных расчетов.</w:t>
      </w:r>
    </w:p>
    <w:p w:rsidR="0067085E" w:rsidRDefault="0067085E" w:rsidP="0067085E">
      <w:pPr>
        <w:rPr>
          <w:rFonts w:ascii="Times New Roman" w:hAnsi="Times New Roman"/>
        </w:rPr>
      </w:pPr>
      <w:r w:rsidRPr="00F60AA0">
        <w:rPr>
          <w:rFonts w:ascii="Times New Roman" w:hAnsi="Times New Roman"/>
        </w:rPr>
        <w:t xml:space="preserve">4. </w:t>
      </w:r>
      <w:r w:rsidR="00F20509">
        <w:rPr>
          <w:rFonts w:ascii="Times New Roman" w:hAnsi="Times New Roman"/>
        </w:rPr>
        <w:t>Безналичные расчеты в Российской Федерации.</w:t>
      </w:r>
    </w:p>
    <w:p w:rsidR="00A20DDD" w:rsidRPr="00F60AA0" w:rsidRDefault="00A20DDD" w:rsidP="0067085E">
      <w:pPr>
        <w:rPr>
          <w:rFonts w:ascii="Times New Roman" w:hAnsi="Times New Roman"/>
        </w:rPr>
      </w:pPr>
      <w:r>
        <w:rPr>
          <w:rFonts w:ascii="Times New Roman" w:hAnsi="Times New Roman"/>
        </w:rPr>
        <w:t>5. Выводы.</w:t>
      </w:r>
    </w:p>
    <w:p w:rsidR="0067085E" w:rsidRPr="00F60AA0" w:rsidRDefault="00A20DDD" w:rsidP="0067085E">
      <w:pPr>
        <w:jc w:val="both"/>
      </w:pPr>
      <w:r>
        <w:t>6. Список литературы.</w:t>
      </w:r>
    </w:p>
    <w:p w:rsidR="0067085E" w:rsidRDefault="0067085E" w:rsidP="0067085E">
      <w:pPr>
        <w:rPr>
          <w:rFonts w:ascii="Times New Roman" w:hAnsi="Times New Roman"/>
          <w:b/>
        </w:rPr>
      </w:pPr>
      <w:r>
        <w:rPr>
          <w:rFonts w:ascii="Times New Roman" w:hAnsi="Times New Roman"/>
          <w:b/>
        </w:rPr>
        <w:br w:type="page"/>
      </w:r>
    </w:p>
    <w:p w:rsidR="00223167" w:rsidRPr="00BB5D1A" w:rsidRDefault="00E06FB9" w:rsidP="0067085E">
      <w:pPr>
        <w:rPr>
          <w:rFonts w:ascii="Times New Roman" w:hAnsi="Times New Roman"/>
          <w:b/>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3.45pt;margin-top:13.3pt;width:192pt;height:128.25pt;z-index:251658752;visibility:visible" wrapcoords="-169 0 -169 21474 21600 21474 21600 0 -169 0">
            <v:imagedata r:id="rId8" o:title=""/>
            <w10:wrap type="tight"/>
          </v:shape>
        </w:pict>
      </w:r>
      <w:r w:rsidR="0067085E">
        <w:rPr>
          <w:rFonts w:ascii="Times New Roman" w:hAnsi="Times New Roman"/>
          <w:b/>
        </w:rPr>
        <w:t>1. Понятие б</w:t>
      </w:r>
      <w:r w:rsidR="00962CE6" w:rsidRPr="00BB5D1A">
        <w:rPr>
          <w:rFonts w:ascii="Times New Roman" w:hAnsi="Times New Roman"/>
          <w:b/>
        </w:rPr>
        <w:t>езналичны</w:t>
      </w:r>
      <w:r w:rsidR="0067085E">
        <w:rPr>
          <w:rFonts w:ascii="Times New Roman" w:hAnsi="Times New Roman"/>
          <w:b/>
        </w:rPr>
        <w:t>х</w:t>
      </w:r>
      <w:r w:rsidR="00962CE6" w:rsidRPr="00BB5D1A">
        <w:rPr>
          <w:rFonts w:ascii="Times New Roman" w:hAnsi="Times New Roman"/>
          <w:b/>
        </w:rPr>
        <w:t xml:space="preserve"> расчет</w:t>
      </w:r>
      <w:r w:rsidR="0067085E">
        <w:rPr>
          <w:rFonts w:ascii="Times New Roman" w:hAnsi="Times New Roman"/>
          <w:b/>
        </w:rPr>
        <w:t>ов</w:t>
      </w:r>
      <w:r w:rsidR="00962CE6" w:rsidRPr="00BB5D1A">
        <w:rPr>
          <w:rFonts w:ascii="Times New Roman" w:hAnsi="Times New Roman"/>
          <w:b/>
        </w:rPr>
        <w:t>.</w:t>
      </w:r>
    </w:p>
    <w:p w:rsidR="00461B54" w:rsidRPr="0067085E" w:rsidRDefault="00461B54" w:rsidP="0067085E">
      <w:pPr>
        <w:widowControl w:val="0"/>
        <w:autoSpaceDE w:val="0"/>
        <w:autoSpaceDN w:val="0"/>
        <w:adjustRightInd w:val="0"/>
        <w:ind w:firstLine="567"/>
        <w:jc w:val="both"/>
        <w:rPr>
          <w:rFonts w:ascii="Times New Roman" w:hAnsi="Times New Roman"/>
          <w:b/>
          <w:bCs/>
        </w:rPr>
      </w:pPr>
      <w:r w:rsidRPr="0067085E">
        <w:rPr>
          <w:rFonts w:ascii="Times New Roman" w:hAnsi="Times New Roman"/>
          <w:b/>
          <w:bCs/>
        </w:rPr>
        <w:t xml:space="preserve"> </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b/>
          <w:bCs/>
        </w:rPr>
        <w:t>Безналичные расчеты</w:t>
      </w:r>
      <w:r w:rsidRPr="00BB5D1A">
        <w:rPr>
          <w:rFonts w:ascii="Times New Roman" w:hAnsi="Times New Roman"/>
          <w:b/>
          <w:lang w:val="en-US"/>
        </w:rPr>
        <w:t> </w:t>
      </w:r>
      <w:r w:rsidRPr="0067085E">
        <w:rPr>
          <w:rFonts w:ascii="Times New Roman" w:hAnsi="Times New Roman"/>
        </w:rPr>
        <w:t xml:space="preserve">— это </w:t>
      </w:r>
      <w:hyperlink r:id="rId9" w:history="1">
        <w:r w:rsidRPr="0067085E">
          <w:rPr>
            <w:rFonts w:ascii="Times New Roman" w:hAnsi="Times New Roman"/>
          </w:rPr>
          <w:t>платежи</w:t>
        </w:r>
      </w:hyperlink>
      <w:r w:rsidRPr="0067085E">
        <w:rPr>
          <w:rFonts w:ascii="Times New Roman" w:hAnsi="Times New Roman"/>
        </w:rPr>
        <w:t xml:space="preserve">, осуществляемые без использования наличных </w:t>
      </w:r>
      <w:hyperlink r:id="rId10" w:history="1">
        <w:r w:rsidRPr="0067085E">
          <w:rPr>
            <w:rFonts w:ascii="Times New Roman" w:hAnsi="Times New Roman"/>
          </w:rPr>
          <w:t>денег</w:t>
        </w:r>
      </w:hyperlink>
      <w:r w:rsidRPr="0067085E">
        <w:rPr>
          <w:rFonts w:ascii="Times New Roman" w:hAnsi="Times New Roman"/>
        </w:rPr>
        <w:t>, посредством перечисления денежных средств по счетам в</w:t>
      </w:r>
      <w:r w:rsidR="00627541" w:rsidRPr="0067085E">
        <w:rPr>
          <w:rFonts w:ascii="Times New Roman" w:hAnsi="Times New Roman"/>
        </w:rPr>
        <w:t xml:space="preserve"> кредитных учреждениях и согласования</w:t>
      </w:r>
      <w:r w:rsidRPr="0067085E">
        <w:rPr>
          <w:rFonts w:ascii="Times New Roman" w:hAnsi="Times New Roman"/>
        </w:rPr>
        <w:t xml:space="preserve"> взаимных требований.</w:t>
      </w:r>
      <w:r w:rsidR="00FE2329" w:rsidRPr="0067085E">
        <w:rPr>
          <w:rFonts w:ascii="Times New Roman" w:hAnsi="Times New Roman"/>
        </w:rPr>
        <w:t xml:space="preserve"> Посредником в таких </w:t>
      </w:r>
      <w:proofErr w:type="spellStart"/>
      <w:r w:rsidR="00FE2329" w:rsidRPr="0067085E">
        <w:rPr>
          <w:rFonts w:ascii="Times New Roman" w:hAnsi="Times New Roman"/>
        </w:rPr>
        <w:t>опрециях</w:t>
      </w:r>
      <w:proofErr w:type="spellEnd"/>
      <w:r w:rsidR="00FE2329" w:rsidRPr="0067085E">
        <w:rPr>
          <w:rFonts w:ascii="Times New Roman" w:hAnsi="Times New Roman"/>
        </w:rPr>
        <w:t xml:space="preserve"> являются банки.</w:t>
      </w:r>
      <w:r w:rsidRPr="0067085E">
        <w:rPr>
          <w:rFonts w:ascii="Times New Roman" w:hAnsi="Times New Roman"/>
        </w:rPr>
        <w:t xml:space="preserve"> Безналичные расчеты имеют важное экономическое значение в ускорении оборачиваемости средств, сокращении наличных денег, необходимых для обращения, снижении издержек обращения; организация денежных расчетов с использованием безналичных денег гораздо предпочтительнее платежей наличными деньгами. Широкому применению безналичных расчетов способствует разветвленная сеть </w:t>
      </w:r>
      <w:hyperlink r:id="rId11" w:history="1">
        <w:r w:rsidRPr="0067085E">
          <w:rPr>
            <w:rFonts w:ascii="Times New Roman" w:hAnsi="Times New Roman"/>
          </w:rPr>
          <w:t>банков</w:t>
        </w:r>
      </w:hyperlink>
      <w:r w:rsidRPr="0067085E">
        <w:rPr>
          <w:rFonts w:ascii="Times New Roman" w:hAnsi="Times New Roman"/>
        </w:rPr>
        <w:t>, а также заинтересованность государства в их развитии, как по вышеотмеченной причине, так и с целью изучения и регулирования макроэкономических процессов.</w:t>
      </w:r>
      <w:r w:rsidR="00A1283D" w:rsidRPr="0067085E">
        <w:rPr>
          <w:rFonts w:ascii="Times New Roman" w:hAnsi="Times New Roman"/>
        </w:rPr>
        <w:t xml:space="preserve"> Расчетные операции относятся к числу важнейших банковских операций. Они включают инкассовые, переводные и </w:t>
      </w:r>
      <w:proofErr w:type="spellStart"/>
      <w:r w:rsidR="00A1283D" w:rsidRPr="0067085E">
        <w:rPr>
          <w:rFonts w:ascii="Times New Roman" w:hAnsi="Times New Roman"/>
        </w:rPr>
        <w:t>аккредетивные</w:t>
      </w:r>
      <w:proofErr w:type="spellEnd"/>
      <w:r w:rsidR="00A1283D" w:rsidRPr="0067085E">
        <w:rPr>
          <w:rFonts w:ascii="Times New Roman" w:hAnsi="Times New Roman"/>
        </w:rPr>
        <w:t xml:space="preserve"> операции.</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 xml:space="preserve">Различия в организации безналичных расчетов обусловлены историческим и экономическим развитием отдельных стран. </w:t>
      </w:r>
      <w:r w:rsidR="00627541" w:rsidRPr="0067085E">
        <w:rPr>
          <w:rFonts w:ascii="Times New Roman" w:hAnsi="Times New Roman"/>
        </w:rPr>
        <w:t xml:space="preserve"> </w:t>
      </w:r>
      <w:r w:rsidRPr="0067085E">
        <w:rPr>
          <w:rFonts w:ascii="Times New Roman" w:hAnsi="Times New Roman"/>
        </w:rPr>
        <w:t xml:space="preserve">В США, Канаде, Великобритании, Франции, Италии широкое распространение получила система чековых расчетов. В ряде стран континентальной Европы (Австрии, Бельгии, Венгрии, Германии, Голландии, Франции, Италии, Швейцарии) преобладают </w:t>
      </w:r>
      <w:hyperlink r:id="rId12" w:history="1">
        <w:r w:rsidRPr="0067085E">
          <w:rPr>
            <w:rFonts w:ascii="Times New Roman" w:hAnsi="Times New Roman"/>
          </w:rPr>
          <w:t>жирорасчеты</w:t>
        </w:r>
      </w:hyperlink>
      <w:r w:rsidRPr="00BB5D1A">
        <w:rPr>
          <w:rFonts w:ascii="Times New Roman" w:hAnsi="Times New Roman"/>
          <w:lang w:val="en-US"/>
        </w:rPr>
        <w:t> </w:t>
      </w:r>
      <w:r w:rsidRPr="0067085E">
        <w:rPr>
          <w:rFonts w:ascii="Times New Roman" w:hAnsi="Times New Roman"/>
        </w:rPr>
        <w:t>— разновидность безналичных расчетов вначале через специальные жиробанки, а затем через коммерческие банки и сберегательные кассы. Сущность этих расчетов состоит в перечислении средств по особым счетам на основе поручений</w:t>
      </w:r>
      <w:r w:rsidRPr="00BB5D1A">
        <w:rPr>
          <w:rFonts w:ascii="Times New Roman" w:hAnsi="Times New Roman"/>
          <w:lang w:val="en-US"/>
        </w:rPr>
        <w:t> </w:t>
      </w:r>
      <w:r w:rsidRPr="0067085E">
        <w:rPr>
          <w:rFonts w:ascii="Times New Roman" w:hAnsi="Times New Roman"/>
        </w:rPr>
        <w:t>— жироприказов, то есть письменных распоряжений о перечислении денежных средств со счета плательщика на счет получателя.</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С развитием и совершенствованием автоматизации банковских операций с середины 70-х годов в развитых странах стала применяться система электронных платежей, используемых для кредитных и платежных операций и контроля за состоянием банковских счетов посредством передачи электронных сигналов, без участия бумажных носителей информации. Для своевременного перемещения средств от отправителя денежного перевода к получателю при оптовых платежных операциях используются телеграфные переводы.</w:t>
      </w:r>
    </w:p>
    <w:p w:rsidR="00962CE6" w:rsidRPr="0067085E" w:rsidRDefault="00962CE6" w:rsidP="0067085E">
      <w:pPr>
        <w:ind w:firstLine="567"/>
        <w:jc w:val="both"/>
        <w:rPr>
          <w:rFonts w:ascii="Times New Roman" w:hAnsi="Times New Roman"/>
        </w:rPr>
      </w:pPr>
      <w:r w:rsidRPr="0067085E">
        <w:rPr>
          <w:rFonts w:ascii="Times New Roman" w:hAnsi="Times New Roman"/>
        </w:rPr>
        <w:t>В электронной системе денежных переводов в настоящее время действуют банковские автоматы, позволяющие клиенту банка самостоятельно подключаться к банковской ЭВМ и осуществлять наиболее распространенные операции: получение наличных денег со счета, внесение вклада, перевод средств по счетам и др. Некоторые банковские автоматы служат только для выдачи наличных денег.</w:t>
      </w:r>
    </w:p>
    <w:p w:rsidR="00A77083" w:rsidRPr="0067085E" w:rsidRDefault="00A77083" w:rsidP="0067085E">
      <w:pPr>
        <w:ind w:firstLine="567"/>
        <w:jc w:val="both"/>
        <w:rPr>
          <w:rFonts w:ascii="Times New Roman" w:hAnsi="Times New Roman"/>
        </w:rPr>
      </w:pPr>
    </w:p>
    <w:p w:rsidR="000C7C8B" w:rsidRPr="0067085E" w:rsidRDefault="0067085E" w:rsidP="0067085E">
      <w:pPr>
        <w:ind w:firstLine="567"/>
        <w:jc w:val="both"/>
        <w:rPr>
          <w:rFonts w:ascii="Times New Roman" w:hAnsi="Times New Roman"/>
        </w:rPr>
      </w:pPr>
      <w:r>
        <w:rPr>
          <w:rFonts w:ascii="Times New Roman" w:hAnsi="Times New Roman"/>
        </w:rPr>
        <w:t>В Росс</w:t>
      </w:r>
      <w:r w:rsidR="000C7C8B" w:rsidRPr="0067085E">
        <w:rPr>
          <w:rFonts w:ascii="Times New Roman" w:hAnsi="Times New Roman"/>
        </w:rPr>
        <w:t>и</w:t>
      </w:r>
      <w:r>
        <w:rPr>
          <w:rFonts w:ascii="Times New Roman" w:hAnsi="Times New Roman"/>
        </w:rPr>
        <w:t>и</w:t>
      </w:r>
      <w:r w:rsidR="000C7C8B" w:rsidRPr="0067085E">
        <w:rPr>
          <w:rFonts w:ascii="Times New Roman" w:hAnsi="Times New Roman"/>
        </w:rPr>
        <w:t xml:space="preserve"> </w:t>
      </w:r>
      <w:r w:rsidR="009B6F61" w:rsidRPr="0067085E">
        <w:rPr>
          <w:rFonts w:ascii="Times New Roman" w:hAnsi="Times New Roman"/>
        </w:rPr>
        <w:t xml:space="preserve">средства безналичного расчета - </w:t>
      </w:r>
      <w:r w:rsidR="000C7C8B" w:rsidRPr="0067085E">
        <w:rPr>
          <w:rFonts w:ascii="Times New Roman" w:hAnsi="Times New Roman"/>
        </w:rPr>
        <w:t>первые кредитные карточки</w:t>
      </w:r>
      <w:r w:rsidR="009B6F61" w:rsidRPr="0067085E">
        <w:rPr>
          <w:rFonts w:ascii="Times New Roman" w:hAnsi="Times New Roman"/>
        </w:rPr>
        <w:t xml:space="preserve"> -</w:t>
      </w:r>
      <w:r w:rsidR="000C7C8B" w:rsidRPr="0067085E">
        <w:rPr>
          <w:rFonts w:ascii="Times New Roman" w:hAnsi="Times New Roman"/>
        </w:rPr>
        <w:t xml:space="preserve"> проникли вместе с иностранными туристами и бизнесменами в конце 60-х годов. Работа с ними была строго регламентирована и находилась под бдительным государственным контролем. Сегодня </w:t>
      </w:r>
      <w:proofErr w:type="spellStart"/>
      <w:r w:rsidR="000C7C8B" w:rsidRPr="0067085E">
        <w:rPr>
          <w:rFonts w:ascii="Times New Roman" w:hAnsi="Times New Roman"/>
        </w:rPr>
        <w:t>независиые</w:t>
      </w:r>
      <w:proofErr w:type="spellEnd"/>
      <w:r w:rsidR="000C7C8B" w:rsidRPr="0067085E">
        <w:rPr>
          <w:rFonts w:ascii="Times New Roman" w:hAnsi="Times New Roman"/>
        </w:rPr>
        <w:t xml:space="preserve"> коммерческие банки России имеют полную свободу действия в отношении пластиковых карточек. В силу </w:t>
      </w:r>
      <w:r w:rsidR="009B6F61" w:rsidRPr="0067085E">
        <w:rPr>
          <w:rFonts w:ascii="Times New Roman" w:hAnsi="Times New Roman"/>
        </w:rPr>
        <w:t>слабости и неразвитости</w:t>
      </w:r>
      <w:r w:rsidR="000C7C8B" w:rsidRPr="0067085E">
        <w:rPr>
          <w:rFonts w:ascii="Times New Roman" w:hAnsi="Times New Roman"/>
        </w:rPr>
        <w:t xml:space="preserve"> банковской системы</w:t>
      </w:r>
      <w:r w:rsidR="009B6F61" w:rsidRPr="0067085E">
        <w:rPr>
          <w:rFonts w:ascii="Times New Roman" w:hAnsi="Times New Roman"/>
        </w:rPr>
        <w:t xml:space="preserve"> в основном выпускаются не кредитные, а дебетовые карточки.</w:t>
      </w:r>
    </w:p>
    <w:p w:rsidR="00962CE6" w:rsidRPr="0067085E" w:rsidRDefault="00962CE6" w:rsidP="0067085E">
      <w:pPr>
        <w:jc w:val="both"/>
        <w:rPr>
          <w:rFonts w:ascii="Times New Roman" w:hAnsi="Times New Roman"/>
        </w:rPr>
      </w:pPr>
    </w:p>
    <w:p w:rsidR="00962CE6" w:rsidRPr="0067085E" w:rsidRDefault="0067085E" w:rsidP="0067085E">
      <w:pPr>
        <w:jc w:val="center"/>
        <w:rPr>
          <w:rFonts w:ascii="Times New Roman" w:hAnsi="Times New Roman"/>
          <w:b/>
        </w:rPr>
      </w:pPr>
      <w:r>
        <w:rPr>
          <w:rFonts w:ascii="Times New Roman" w:hAnsi="Times New Roman"/>
          <w:b/>
        </w:rPr>
        <w:t xml:space="preserve">2. </w:t>
      </w:r>
      <w:r w:rsidR="00962CE6" w:rsidRPr="0067085E">
        <w:rPr>
          <w:rFonts w:ascii="Times New Roman" w:hAnsi="Times New Roman"/>
          <w:b/>
        </w:rPr>
        <w:t>Плюсы и минусы безналичных расчетов.</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bCs/>
        </w:rPr>
        <w:t>Плюсы:</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1) Гибкость расчетов, так как могут обслуживаться «цепочки» сделок с различными доплатами.</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lastRenderedPageBreak/>
        <w:t>2) Наличие банковских документов, т.е. легкая доказуемость проведения расчетов.</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3) Невозможность мошенничества с фальшивыми деньгами, «куклами» и т.п.</w:t>
      </w:r>
    </w:p>
    <w:p w:rsidR="009B6F61"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 xml:space="preserve">4) </w:t>
      </w:r>
      <w:r w:rsidR="009B6F61" w:rsidRPr="0067085E">
        <w:rPr>
          <w:rFonts w:ascii="Times New Roman" w:hAnsi="Times New Roman"/>
        </w:rPr>
        <w:t>Снижение издержек обращения;</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5) Неограниченный срок хранения денежных средств на счетах банка;</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6) Отсутствие кассы и необходимости ее обслуживания;</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7) Все наличные деньги подлежат обязательной сдаче в Банк по истечении трех дней с момента их поступления в кассу (исключение составляют денежные средства для оплаты труда сотрудников- зарплаты, которые можно хранить в кассе не более 5 дней), то есть наличные деньги все равно подлежат обязательному переводу в безналичную форму, поэтому первоначальный расчет безналичкой позволит не совершать дополнительных операций с банком и сэкономить время и деньги.</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bCs/>
        </w:rPr>
        <w:t>Минусы:</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1) Существует</w:t>
      </w:r>
      <w:r w:rsidRPr="00BB5D1A">
        <w:rPr>
          <w:rFonts w:ascii="Times New Roman" w:hAnsi="Times New Roman"/>
          <w:lang w:val="en-US"/>
        </w:rPr>
        <w:t> </w:t>
      </w:r>
      <w:r w:rsidRPr="0067085E">
        <w:rPr>
          <w:rFonts w:ascii="Times New Roman" w:hAnsi="Times New Roman"/>
        </w:rPr>
        <w:t xml:space="preserve"> опасность столкнуться или попасть в зависимость от «проблем» Банка, </w:t>
      </w:r>
      <w:r w:rsidRPr="00BB5D1A">
        <w:rPr>
          <w:rFonts w:ascii="Times New Roman" w:hAnsi="Times New Roman"/>
          <w:lang w:val="en-US"/>
        </w:rPr>
        <w:t> </w:t>
      </w:r>
      <w:r w:rsidRPr="0067085E">
        <w:rPr>
          <w:rFonts w:ascii="Times New Roman" w:hAnsi="Times New Roman"/>
        </w:rPr>
        <w:t>то есть с затруднениями или даже невозможностью перевести или снять деньги со счета.</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2) Увеличение расходов, связанных с появлением различных дополнительных выплат Банку за произведенные операции.</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3) Необходим регулярный поток денежных средств, для оплаты услуг банка и выплаты заработных плат сотрудникам, что не очень удобно для начинающих малых предпринимателей;</w:t>
      </w:r>
    </w:p>
    <w:p w:rsidR="00962CE6" w:rsidRPr="0067085E" w:rsidRDefault="00962CE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4) Требуется постоянное взаимодействие с банком, что включает в себя</w:t>
      </w:r>
      <w:r w:rsidRPr="00BB5D1A">
        <w:rPr>
          <w:rFonts w:ascii="Times New Roman" w:hAnsi="Times New Roman"/>
          <w:lang w:val="en-US"/>
        </w:rPr>
        <w:t> </w:t>
      </w:r>
      <w:r w:rsidRPr="0067085E">
        <w:rPr>
          <w:rFonts w:ascii="Times New Roman" w:hAnsi="Times New Roman"/>
        </w:rPr>
        <w:t xml:space="preserve"> определенные затраты;</w:t>
      </w:r>
    </w:p>
    <w:p w:rsidR="00962CE6" w:rsidRPr="0067085E" w:rsidRDefault="00962CE6" w:rsidP="0067085E">
      <w:pPr>
        <w:ind w:firstLine="567"/>
        <w:jc w:val="both"/>
        <w:rPr>
          <w:rFonts w:ascii="Times New Roman" w:hAnsi="Times New Roman"/>
        </w:rPr>
      </w:pPr>
      <w:r w:rsidRPr="0067085E">
        <w:rPr>
          <w:rFonts w:ascii="Times New Roman" w:hAnsi="Times New Roman"/>
        </w:rPr>
        <w:t>В основном, данный вид расчета имеет явные преимущества перед наличным расчетом, а недостатки можно устранить, если тщательно подойти к вопросу выбора Банка и работать в рамках действующего законодательства.</w:t>
      </w:r>
    </w:p>
    <w:p w:rsidR="00962CE6" w:rsidRPr="00BB5D1A" w:rsidRDefault="00962CE6" w:rsidP="0067085E">
      <w:pPr>
        <w:jc w:val="both"/>
        <w:rPr>
          <w:rFonts w:ascii="Times New Roman" w:hAnsi="Times New Roman"/>
        </w:rPr>
      </w:pPr>
    </w:p>
    <w:p w:rsidR="006F2666" w:rsidRDefault="00F20509" w:rsidP="006F2666">
      <w:pPr>
        <w:widowControl w:val="0"/>
        <w:autoSpaceDE w:val="0"/>
        <w:autoSpaceDN w:val="0"/>
        <w:adjustRightInd w:val="0"/>
        <w:jc w:val="center"/>
        <w:rPr>
          <w:rFonts w:ascii="Times New Roman" w:hAnsi="Times New Roman"/>
          <w:b/>
        </w:rPr>
      </w:pPr>
      <w:r>
        <w:rPr>
          <w:rFonts w:ascii="Times New Roman" w:hAnsi="Times New Roman"/>
          <w:b/>
        </w:rPr>
        <w:t xml:space="preserve">3. </w:t>
      </w:r>
      <w:r w:rsidR="006F2666">
        <w:rPr>
          <w:rFonts w:ascii="Times New Roman" w:hAnsi="Times New Roman"/>
          <w:b/>
        </w:rPr>
        <w:t>Виды безналичных расчетов</w:t>
      </w:r>
    </w:p>
    <w:p w:rsidR="006F2666" w:rsidRPr="006F2666" w:rsidRDefault="006F2666" w:rsidP="006F2666">
      <w:pPr>
        <w:widowControl w:val="0"/>
        <w:autoSpaceDE w:val="0"/>
        <w:autoSpaceDN w:val="0"/>
        <w:adjustRightInd w:val="0"/>
        <w:ind w:firstLine="567"/>
        <w:rPr>
          <w:rFonts w:ascii="Times New Roman" w:hAnsi="Times New Roman"/>
        </w:rPr>
      </w:pPr>
      <w:r w:rsidRPr="006F2666">
        <w:rPr>
          <w:rFonts w:ascii="Times New Roman" w:hAnsi="Times New Roman"/>
        </w:rPr>
        <w:t>В Российской Федерации Центральным банком установлены следующие виды безналичных расчетов:</w:t>
      </w:r>
    </w:p>
    <w:p w:rsidR="006F2666" w:rsidRPr="006F2666" w:rsidRDefault="006F2666" w:rsidP="006F2666">
      <w:pPr>
        <w:widowControl w:val="0"/>
        <w:autoSpaceDE w:val="0"/>
        <w:autoSpaceDN w:val="0"/>
        <w:adjustRightInd w:val="0"/>
        <w:ind w:firstLine="567"/>
        <w:jc w:val="both"/>
        <w:rPr>
          <w:rFonts w:ascii="Times New Roman" w:hAnsi="Times New Roman"/>
        </w:rPr>
      </w:pPr>
      <w:r w:rsidRPr="006F2666">
        <w:rPr>
          <w:rFonts w:ascii="Times New Roman" w:hAnsi="Times New Roman"/>
        </w:rPr>
        <w:t>•</w:t>
      </w:r>
      <w:r w:rsidRPr="006F2666">
        <w:rPr>
          <w:rFonts w:ascii="Times New Roman" w:hAnsi="Times New Roman"/>
        </w:rPr>
        <w:tab/>
        <w:t>Расчёты платёжными поручениями</w:t>
      </w:r>
    </w:p>
    <w:p w:rsidR="006F2666" w:rsidRPr="006F2666" w:rsidRDefault="006F2666" w:rsidP="006F2666">
      <w:pPr>
        <w:widowControl w:val="0"/>
        <w:autoSpaceDE w:val="0"/>
        <w:autoSpaceDN w:val="0"/>
        <w:adjustRightInd w:val="0"/>
        <w:ind w:firstLine="567"/>
        <w:jc w:val="both"/>
        <w:rPr>
          <w:rFonts w:ascii="Times New Roman" w:hAnsi="Times New Roman"/>
        </w:rPr>
      </w:pPr>
      <w:r w:rsidRPr="006F2666">
        <w:rPr>
          <w:rFonts w:ascii="Times New Roman" w:hAnsi="Times New Roman"/>
        </w:rPr>
        <w:t>•</w:t>
      </w:r>
      <w:r w:rsidRPr="006F2666">
        <w:rPr>
          <w:rFonts w:ascii="Times New Roman" w:hAnsi="Times New Roman"/>
        </w:rPr>
        <w:tab/>
        <w:t>Расчёты по аккредитивам</w:t>
      </w:r>
    </w:p>
    <w:p w:rsidR="006F2666" w:rsidRPr="006F2666" w:rsidRDefault="006F2666" w:rsidP="006F2666">
      <w:pPr>
        <w:widowControl w:val="0"/>
        <w:autoSpaceDE w:val="0"/>
        <w:autoSpaceDN w:val="0"/>
        <w:adjustRightInd w:val="0"/>
        <w:ind w:firstLine="567"/>
        <w:jc w:val="both"/>
        <w:rPr>
          <w:rFonts w:ascii="Times New Roman" w:hAnsi="Times New Roman"/>
        </w:rPr>
      </w:pPr>
      <w:r w:rsidRPr="006F2666">
        <w:rPr>
          <w:rFonts w:ascii="Times New Roman" w:hAnsi="Times New Roman"/>
        </w:rPr>
        <w:t>•</w:t>
      </w:r>
      <w:r w:rsidRPr="006F2666">
        <w:rPr>
          <w:rFonts w:ascii="Times New Roman" w:hAnsi="Times New Roman"/>
        </w:rPr>
        <w:tab/>
        <w:t>Расчёты чеками</w:t>
      </w:r>
    </w:p>
    <w:p w:rsidR="006F2666" w:rsidRPr="006F2666" w:rsidRDefault="006F2666" w:rsidP="006F2666">
      <w:pPr>
        <w:widowControl w:val="0"/>
        <w:autoSpaceDE w:val="0"/>
        <w:autoSpaceDN w:val="0"/>
        <w:adjustRightInd w:val="0"/>
        <w:ind w:firstLine="567"/>
        <w:jc w:val="both"/>
        <w:rPr>
          <w:rFonts w:ascii="Times New Roman" w:hAnsi="Times New Roman"/>
        </w:rPr>
      </w:pPr>
      <w:r w:rsidRPr="006F2666">
        <w:rPr>
          <w:rFonts w:ascii="Times New Roman" w:hAnsi="Times New Roman"/>
        </w:rPr>
        <w:t>•</w:t>
      </w:r>
      <w:r w:rsidRPr="006F2666">
        <w:rPr>
          <w:rFonts w:ascii="Times New Roman" w:hAnsi="Times New Roman"/>
        </w:rPr>
        <w:tab/>
        <w:t>Расчёты по инкассо</w:t>
      </w:r>
    </w:p>
    <w:p w:rsidR="00CD5899" w:rsidRPr="006F2666" w:rsidRDefault="006F2666" w:rsidP="006F2666">
      <w:pPr>
        <w:widowControl w:val="0"/>
        <w:autoSpaceDE w:val="0"/>
        <w:autoSpaceDN w:val="0"/>
        <w:adjustRightInd w:val="0"/>
        <w:ind w:firstLine="567"/>
        <w:jc w:val="both"/>
        <w:rPr>
          <w:rFonts w:ascii="Times New Roman" w:hAnsi="Times New Roman"/>
        </w:rPr>
      </w:pPr>
      <w:r w:rsidRPr="006F2666">
        <w:rPr>
          <w:rFonts w:ascii="Times New Roman" w:hAnsi="Times New Roman"/>
        </w:rPr>
        <w:t>•</w:t>
      </w:r>
      <w:r w:rsidRPr="006F2666">
        <w:rPr>
          <w:rFonts w:ascii="Times New Roman" w:hAnsi="Times New Roman"/>
        </w:rPr>
        <w:tab/>
        <w:t>Расчёты платёжными требованиями</w:t>
      </w:r>
    </w:p>
    <w:p w:rsidR="00972955" w:rsidRPr="006F2666" w:rsidRDefault="00CD5899" w:rsidP="0067085E">
      <w:pPr>
        <w:widowControl w:val="0"/>
        <w:autoSpaceDE w:val="0"/>
        <w:autoSpaceDN w:val="0"/>
        <w:adjustRightInd w:val="0"/>
        <w:jc w:val="center"/>
        <w:rPr>
          <w:rFonts w:ascii="Times New Roman" w:hAnsi="Times New Roman"/>
          <w:b/>
        </w:rPr>
      </w:pPr>
      <w:r w:rsidRPr="006F2666">
        <w:rPr>
          <w:rFonts w:ascii="Times New Roman" w:hAnsi="Times New Roman"/>
          <w:b/>
        </w:rPr>
        <w:t>Расчеты платежными поручениями.</w:t>
      </w:r>
    </w:p>
    <w:p w:rsidR="00CD5899" w:rsidRPr="0067085E" w:rsidRDefault="0016259E" w:rsidP="0067085E">
      <w:pPr>
        <w:widowControl w:val="0"/>
        <w:autoSpaceDE w:val="0"/>
        <w:autoSpaceDN w:val="0"/>
        <w:adjustRightInd w:val="0"/>
        <w:ind w:firstLine="567"/>
        <w:jc w:val="both"/>
        <w:rPr>
          <w:rFonts w:ascii="Times New Roman" w:hAnsi="Times New Roman"/>
        </w:rPr>
      </w:pPr>
      <w:r w:rsidRPr="0067085E">
        <w:rPr>
          <w:rFonts w:ascii="Times New Roman" w:hAnsi="Times New Roman"/>
          <w:bCs/>
        </w:rPr>
        <w:t>П</w:t>
      </w:r>
      <w:r w:rsidR="0067085E">
        <w:rPr>
          <w:rFonts w:ascii="Times New Roman" w:hAnsi="Times New Roman"/>
          <w:bCs/>
        </w:rPr>
        <w:t>латежное</w:t>
      </w:r>
      <w:r w:rsidRPr="0067085E">
        <w:rPr>
          <w:rFonts w:ascii="Times New Roman" w:hAnsi="Times New Roman"/>
          <w:bCs/>
        </w:rPr>
        <w:t xml:space="preserve"> </w:t>
      </w:r>
      <w:r w:rsidR="0067085E">
        <w:rPr>
          <w:rFonts w:ascii="Times New Roman" w:hAnsi="Times New Roman"/>
          <w:bCs/>
        </w:rPr>
        <w:t>требование-поручение</w:t>
      </w:r>
      <w:r w:rsidRPr="0067085E">
        <w:rPr>
          <w:rFonts w:ascii="Times New Roman" w:hAnsi="Times New Roman"/>
        </w:rPr>
        <w:t xml:space="preserve"> — расчетный платежный документ, представленный получателем средств в обслуживающий его банк; содержит, с одной стороны, требование получателя денежных средств к их плательщику об уплате положенной суммы, с другой стороны, поручение плательщика своему банку о перечислении данной суммы получателю. Введено в оборот в РФ с 1990 г. Обычно с помощью таких документов поставщики, продавцы товаров, исполнители работ и услуг выставляют требования о перечислении денежных средств на их счет со счета тех организаций, предприятий, кому поставлены, проданы товары и для кого выполнены работы и услуги.</w:t>
      </w:r>
    </w:p>
    <w:p w:rsidR="0016259E" w:rsidRPr="0067085E" w:rsidRDefault="0016259E" w:rsidP="0067085E">
      <w:pPr>
        <w:widowControl w:val="0"/>
        <w:autoSpaceDE w:val="0"/>
        <w:autoSpaceDN w:val="0"/>
        <w:adjustRightInd w:val="0"/>
        <w:ind w:firstLine="567"/>
        <w:jc w:val="both"/>
        <w:rPr>
          <w:rFonts w:ascii="Times New Roman" w:hAnsi="Times New Roman"/>
        </w:rPr>
      </w:pPr>
    </w:p>
    <w:p w:rsidR="00CD5899" w:rsidRPr="0067085E" w:rsidRDefault="00CD5899" w:rsidP="0067085E">
      <w:pPr>
        <w:widowControl w:val="0"/>
        <w:autoSpaceDE w:val="0"/>
        <w:autoSpaceDN w:val="0"/>
        <w:adjustRightInd w:val="0"/>
        <w:jc w:val="center"/>
        <w:rPr>
          <w:rFonts w:ascii="Times New Roman" w:hAnsi="Times New Roman"/>
        </w:rPr>
      </w:pPr>
      <w:r w:rsidRPr="0067085E">
        <w:rPr>
          <w:rFonts w:ascii="Times New Roman" w:hAnsi="Times New Roman"/>
          <w:b/>
        </w:rPr>
        <w:t>Расчеты по аккредитивам</w:t>
      </w:r>
      <w:r w:rsidRPr="0067085E">
        <w:rPr>
          <w:rFonts w:ascii="Times New Roman" w:hAnsi="Times New Roman"/>
        </w:rPr>
        <w:t>.</w:t>
      </w:r>
    </w:p>
    <w:p w:rsidR="00057BF4" w:rsidRPr="0067085E" w:rsidRDefault="00057BF4" w:rsidP="0067085E">
      <w:pPr>
        <w:widowControl w:val="0"/>
        <w:autoSpaceDE w:val="0"/>
        <w:autoSpaceDN w:val="0"/>
        <w:adjustRightInd w:val="0"/>
        <w:ind w:firstLine="567"/>
        <w:jc w:val="both"/>
        <w:rPr>
          <w:rFonts w:ascii="Times New Roman" w:hAnsi="Times New Roman"/>
          <w:bCs/>
        </w:rPr>
      </w:pPr>
      <w:r w:rsidRPr="0067085E">
        <w:rPr>
          <w:rFonts w:ascii="Times New Roman" w:hAnsi="Times New Roman"/>
          <w:bCs/>
        </w:rPr>
        <w:t>А</w:t>
      </w:r>
      <w:r w:rsidR="0067085E">
        <w:rPr>
          <w:rFonts w:ascii="Times New Roman" w:hAnsi="Times New Roman"/>
          <w:bCs/>
        </w:rPr>
        <w:t>ккредитив</w:t>
      </w:r>
      <w:r w:rsidRPr="0067085E">
        <w:rPr>
          <w:rFonts w:ascii="Times New Roman" w:hAnsi="Times New Roman"/>
        </w:rPr>
        <w:t xml:space="preserve"> — специальный банковский счет, на котором можно зарезервировать средства для расчетов с поставщиком. Аккредитив открывается для каждого поставщика (подрядчика), с которым вы осуществляете расчеты. Получить средства с аккредитива поставщик (подрядчик) сможет только после представления в банк документов, подтверждающих выполнение им договорных обязательств (поставку товаров, выполнение работ, оказание услуг).</w:t>
      </w:r>
      <w:r w:rsidR="006F2666">
        <w:rPr>
          <w:rFonts w:ascii="Times New Roman" w:hAnsi="Times New Roman"/>
        </w:rPr>
        <w:t xml:space="preserve"> </w:t>
      </w:r>
      <w:r w:rsidRPr="0067085E">
        <w:rPr>
          <w:rFonts w:ascii="Times New Roman" w:hAnsi="Times New Roman"/>
        </w:rPr>
        <w:t xml:space="preserve">Перечень этих документов определяется в договоре с </w:t>
      </w:r>
      <w:r w:rsidRPr="0067085E">
        <w:rPr>
          <w:rFonts w:ascii="Times New Roman" w:hAnsi="Times New Roman"/>
        </w:rPr>
        <w:lastRenderedPageBreak/>
        <w:t>поставщиком (подрядчиком).Существуют виды аккредитивов: покрытые; непокрытые. Аккредитив является покрытым, если денежные средства списываются с расчетного счета покупателя и депонируются банком для последующих платежей поставщику (подрядчику). Распоряжаться денежными средствами, находящимися в покрытых аккредитивах, покупатель не может. Аккредитив является непокрытым (гарантированным), если банк поставщика списывает денежные средства с корреспондентского счета банка покупателя в пределах суммы, на которую открыт аккредитив. Средства самого покупателя остаются в обороте до момента списания денег с корреспондентского счета обслуживающего его банка.</w:t>
      </w:r>
    </w:p>
    <w:p w:rsidR="00CD5899" w:rsidRPr="0067085E" w:rsidRDefault="00CD5899" w:rsidP="0067085E">
      <w:pPr>
        <w:widowControl w:val="0"/>
        <w:autoSpaceDE w:val="0"/>
        <w:autoSpaceDN w:val="0"/>
        <w:adjustRightInd w:val="0"/>
        <w:ind w:firstLine="567"/>
        <w:jc w:val="both"/>
        <w:rPr>
          <w:rFonts w:ascii="Times New Roman" w:hAnsi="Times New Roman"/>
        </w:rPr>
      </w:pPr>
      <w:r w:rsidRPr="0067085E">
        <w:rPr>
          <w:rFonts w:ascii="Times New Roman" w:hAnsi="Times New Roman"/>
          <w:bCs/>
        </w:rPr>
        <w:t>Преимущества данной формы безналичных расчётов</w:t>
      </w:r>
      <w:r w:rsidRPr="0067085E">
        <w:rPr>
          <w:rFonts w:ascii="Times New Roman" w:hAnsi="Times New Roman"/>
        </w:rPr>
        <w:t>: гарантия платежа поставщику; контроль выполнения условий поставки и условий аккредитива банками; как правило не отвлекаются сре</w:t>
      </w:r>
      <w:r w:rsidR="004669B6" w:rsidRPr="0067085E">
        <w:rPr>
          <w:rFonts w:ascii="Times New Roman" w:hAnsi="Times New Roman"/>
        </w:rPr>
        <w:t xml:space="preserve">дства из хозяйственного оборота. </w:t>
      </w:r>
      <w:r w:rsidRPr="0067085E">
        <w:rPr>
          <w:rFonts w:ascii="Times New Roman" w:hAnsi="Times New Roman"/>
          <w:bCs/>
        </w:rPr>
        <w:t>Недостатки</w:t>
      </w:r>
      <w:r w:rsidRPr="0067085E">
        <w:rPr>
          <w:rFonts w:ascii="Times New Roman" w:hAnsi="Times New Roman"/>
        </w:rPr>
        <w:t>: сложный документооборот; высокие комиссии банков.</w:t>
      </w:r>
    </w:p>
    <w:p w:rsidR="00CD5899" w:rsidRPr="0067085E" w:rsidRDefault="00CD5899" w:rsidP="0067085E">
      <w:pPr>
        <w:widowControl w:val="0"/>
        <w:autoSpaceDE w:val="0"/>
        <w:autoSpaceDN w:val="0"/>
        <w:adjustRightInd w:val="0"/>
        <w:ind w:firstLine="567"/>
        <w:jc w:val="both"/>
        <w:rPr>
          <w:rFonts w:ascii="Times New Roman" w:hAnsi="Times New Roman"/>
        </w:rPr>
      </w:pPr>
    </w:p>
    <w:p w:rsidR="00CD5899" w:rsidRPr="0067085E" w:rsidRDefault="00CD5899" w:rsidP="0067085E">
      <w:pPr>
        <w:widowControl w:val="0"/>
        <w:autoSpaceDE w:val="0"/>
        <w:autoSpaceDN w:val="0"/>
        <w:adjustRightInd w:val="0"/>
        <w:jc w:val="center"/>
        <w:rPr>
          <w:rFonts w:ascii="Times New Roman" w:hAnsi="Times New Roman"/>
        </w:rPr>
      </w:pPr>
      <w:r w:rsidRPr="0067085E">
        <w:rPr>
          <w:rFonts w:ascii="Times New Roman" w:hAnsi="Times New Roman"/>
          <w:b/>
        </w:rPr>
        <w:t>Расчеты чеками</w:t>
      </w:r>
      <w:r w:rsidRPr="0067085E">
        <w:rPr>
          <w:rFonts w:ascii="Times New Roman" w:hAnsi="Times New Roman"/>
        </w:rPr>
        <w:t>.</w:t>
      </w:r>
    </w:p>
    <w:p w:rsidR="00CD5899" w:rsidRPr="0067085E" w:rsidRDefault="00CD5899" w:rsidP="0067085E">
      <w:pPr>
        <w:widowControl w:val="0"/>
        <w:autoSpaceDE w:val="0"/>
        <w:autoSpaceDN w:val="0"/>
        <w:adjustRightInd w:val="0"/>
        <w:ind w:firstLine="567"/>
        <w:jc w:val="both"/>
        <w:rPr>
          <w:rFonts w:ascii="Times New Roman" w:hAnsi="Times New Roman"/>
        </w:rPr>
      </w:pPr>
      <w:r w:rsidRPr="0067085E">
        <w:rPr>
          <w:rFonts w:ascii="Times New Roman" w:hAnsi="Times New Roman"/>
          <w:bCs/>
        </w:rPr>
        <w:t>Чек</w:t>
      </w:r>
      <w:r w:rsidRPr="0067085E">
        <w:rPr>
          <w:rFonts w:ascii="Times New Roman" w:hAnsi="Times New Roman"/>
        </w:rPr>
        <w:t xml:space="preserve"> (</w:t>
      </w:r>
      <w:hyperlink r:id="rId13" w:history="1">
        <w:r w:rsidRPr="0067085E">
          <w:rPr>
            <w:rFonts w:ascii="Times New Roman" w:hAnsi="Times New Roman"/>
          </w:rPr>
          <w:t>фр.</w:t>
        </w:r>
      </w:hyperlink>
      <w:r w:rsidRPr="00BB5D1A">
        <w:rPr>
          <w:rFonts w:ascii="Times New Roman" w:hAnsi="Times New Roman"/>
          <w:lang w:val="en-US"/>
        </w:rPr>
        <w:t> </w:t>
      </w:r>
      <w:proofErr w:type="spellStart"/>
      <w:r w:rsidRPr="00BB5D1A">
        <w:rPr>
          <w:rFonts w:ascii="Times New Roman" w:hAnsi="Times New Roman"/>
          <w:i/>
          <w:iCs/>
          <w:lang w:val="en-US"/>
        </w:rPr>
        <w:t>ch</w:t>
      </w:r>
      <w:r w:rsidRPr="0067085E">
        <w:rPr>
          <w:rFonts w:ascii="Times New Roman" w:hAnsi="Times New Roman"/>
          <w:i/>
          <w:iCs/>
        </w:rPr>
        <w:t>è</w:t>
      </w:r>
      <w:r w:rsidRPr="00BB5D1A">
        <w:rPr>
          <w:rFonts w:ascii="Times New Roman" w:hAnsi="Times New Roman"/>
          <w:i/>
          <w:iCs/>
          <w:lang w:val="en-US"/>
        </w:rPr>
        <w:t>que</w:t>
      </w:r>
      <w:proofErr w:type="spellEnd"/>
      <w:r w:rsidRPr="0067085E">
        <w:rPr>
          <w:rFonts w:ascii="Times New Roman" w:hAnsi="Times New Roman"/>
        </w:rPr>
        <w:t xml:space="preserve">, </w:t>
      </w:r>
      <w:hyperlink r:id="rId14" w:history="1">
        <w:r w:rsidRPr="0067085E">
          <w:rPr>
            <w:rFonts w:ascii="Times New Roman" w:hAnsi="Times New Roman"/>
          </w:rPr>
          <w:t>англ.</w:t>
        </w:r>
      </w:hyperlink>
      <w:r w:rsidRPr="00BB5D1A">
        <w:rPr>
          <w:rFonts w:ascii="Times New Roman" w:hAnsi="Times New Roman"/>
          <w:lang w:val="en-US"/>
        </w:rPr>
        <w:t> </w:t>
      </w:r>
      <w:proofErr w:type="spellStart"/>
      <w:r w:rsidRPr="00BB5D1A">
        <w:rPr>
          <w:rFonts w:ascii="Times New Roman" w:hAnsi="Times New Roman"/>
          <w:i/>
          <w:iCs/>
          <w:lang w:val="en-US"/>
        </w:rPr>
        <w:t>cheque</w:t>
      </w:r>
      <w:proofErr w:type="spellEnd"/>
      <w:r w:rsidRPr="0067085E">
        <w:rPr>
          <w:rFonts w:ascii="Times New Roman" w:hAnsi="Times New Roman"/>
          <w:i/>
          <w:iCs/>
        </w:rPr>
        <w:t>/</w:t>
      </w:r>
      <w:r w:rsidRPr="00BB5D1A">
        <w:rPr>
          <w:rFonts w:ascii="Times New Roman" w:hAnsi="Times New Roman"/>
          <w:i/>
          <w:iCs/>
          <w:lang w:val="en-US"/>
        </w:rPr>
        <w:t>check</w:t>
      </w:r>
      <w:r w:rsidRPr="0067085E">
        <w:rPr>
          <w:rFonts w:ascii="Times New Roman" w:hAnsi="Times New Roman"/>
        </w:rPr>
        <w:t>)</w:t>
      </w:r>
      <w:r w:rsidRPr="00BB5D1A">
        <w:rPr>
          <w:rFonts w:ascii="Times New Roman" w:hAnsi="Times New Roman"/>
          <w:lang w:val="en-US"/>
        </w:rPr>
        <w:t> </w:t>
      </w:r>
      <w:r w:rsidRPr="0067085E">
        <w:rPr>
          <w:rFonts w:ascii="Times New Roman" w:hAnsi="Times New Roman"/>
        </w:rPr>
        <w:t xml:space="preserve">— </w:t>
      </w:r>
      <w:hyperlink r:id="rId15" w:history="1">
        <w:r w:rsidRPr="0067085E">
          <w:rPr>
            <w:rFonts w:ascii="Times New Roman" w:hAnsi="Times New Roman"/>
          </w:rPr>
          <w:t>ценная бумага</w:t>
        </w:r>
      </w:hyperlink>
      <w:r w:rsidRPr="0067085E">
        <w:rPr>
          <w:rFonts w:ascii="Times New Roman" w:hAnsi="Times New Roman"/>
        </w:rPr>
        <w:t xml:space="preserve">, содержащая ничем не обусловленное распоряжение чекодателя </w:t>
      </w:r>
      <w:hyperlink r:id="rId16" w:history="1">
        <w:r w:rsidRPr="0067085E">
          <w:rPr>
            <w:rFonts w:ascii="Times New Roman" w:hAnsi="Times New Roman"/>
          </w:rPr>
          <w:t>банку</w:t>
        </w:r>
      </w:hyperlink>
      <w:r w:rsidRPr="0067085E">
        <w:rPr>
          <w:rFonts w:ascii="Times New Roman" w:hAnsi="Times New Roman"/>
        </w:rPr>
        <w:t xml:space="preserve"> произвести платёж указанной в нем суммы чекодержателю. Чекодателем является лицо, имеющее денежные средства в банке, которыми он вправе распоряжаться путём выставления чеков, чекодержателем</w:t>
      </w:r>
      <w:r w:rsidRPr="00BB5D1A">
        <w:rPr>
          <w:rFonts w:ascii="Times New Roman" w:hAnsi="Times New Roman"/>
          <w:lang w:val="en-US"/>
        </w:rPr>
        <w:t> </w:t>
      </w:r>
      <w:r w:rsidRPr="0067085E">
        <w:rPr>
          <w:rFonts w:ascii="Times New Roman" w:hAnsi="Times New Roman"/>
        </w:rPr>
        <w:t>— лицо, в пользу которого выдан чек, плательщиком</w:t>
      </w:r>
      <w:r w:rsidRPr="00BB5D1A">
        <w:rPr>
          <w:rFonts w:ascii="Times New Roman" w:hAnsi="Times New Roman"/>
          <w:lang w:val="en-US"/>
        </w:rPr>
        <w:t> </w:t>
      </w:r>
      <w:r w:rsidRPr="0067085E">
        <w:rPr>
          <w:rFonts w:ascii="Times New Roman" w:hAnsi="Times New Roman"/>
        </w:rPr>
        <w:t>— банк, в котором находятся денежные средства чекодателя.</w:t>
      </w:r>
      <w:r w:rsidR="00EF5CA1" w:rsidRPr="0067085E">
        <w:rPr>
          <w:rFonts w:ascii="Times New Roman" w:hAnsi="Times New Roman"/>
        </w:rPr>
        <w:t xml:space="preserve"> </w:t>
      </w:r>
    </w:p>
    <w:p w:rsidR="00EF5CA1" w:rsidRPr="0067085E" w:rsidRDefault="00EF5CA1"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Существуют денежные чеки и расчётные чеки. Денежные чеки применяются для выплаты держателю чека наличных денег в банке, например на заработную плату, хозяйственные нужды, командировочные расходы и</w:t>
      </w:r>
      <w:r w:rsidRPr="00BB5D1A">
        <w:rPr>
          <w:rFonts w:ascii="Times New Roman" w:hAnsi="Times New Roman"/>
          <w:lang w:val="en-US"/>
        </w:rPr>
        <w:t> </w:t>
      </w:r>
      <w:r w:rsidRPr="0067085E">
        <w:rPr>
          <w:rFonts w:ascii="Times New Roman" w:hAnsi="Times New Roman"/>
        </w:rPr>
        <w:t>т.</w:t>
      </w:r>
      <w:r w:rsidRPr="00BB5D1A">
        <w:rPr>
          <w:rFonts w:ascii="Times New Roman" w:hAnsi="Times New Roman"/>
          <w:lang w:val="en-US"/>
        </w:rPr>
        <w:t> </w:t>
      </w:r>
      <w:r w:rsidRPr="0067085E">
        <w:rPr>
          <w:rFonts w:ascii="Times New Roman" w:hAnsi="Times New Roman"/>
        </w:rPr>
        <w:t>д.</w:t>
      </w:r>
    </w:p>
    <w:p w:rsidR="00EF5CA1" w:rsidRPr="0067085E" w:rsidRDefault="00EF5CA1"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Расчётные чеки</w:t>
      </w:r>
      <w:r w:rsidRPr="00BB5D1A">
        <w:rPr>
          <w:rFonts w:ascii="Times New Roman" w:hAnsi="Times New Roman"/>
          <w:lang w:val="en-US"/>
        </w:rPr>
        <w:t> </w:t>
      </w:r>
      <w:r w:rsidRPr="0067085E">
        <w:rPr>
          <w:rFonts w:ascii="Times New Roman" w:hAnsi="Times New Roman"/>
        </w:rPr>
        <w:t xml:space="preserve">— это чеки, используемые для безналичных расчётов, это документ установленной формы, содержащий безусловный письменный приказ чекодателя своему банку о перечислении определённой денежной суммы с его счета на счёт получателя средств. </w:t>
      </w:r>
    </w:p>
    <w:p w:rsidR="00972955" w:rsidRPr="00BB5D1A" w:rsidRDefault="00972955" w:rsidP="0067085E">
      <w:pPr>
        <w:jc w:val="both"/>
        <w:rPr>
          <w:rFonts w:ascii="Times New Roman" w:hAnsi="Times New Roman"/>
        </w:rPr>
      </w:pPr>
    </w:p>
    <w:p w:rsidR="00CD5899" w:rsidRPr="00BB5D1A" w:rsidRDefault="00CD5899" w:rsidP="0067085E">
      <w:pPr>
        <w:jc w:val="center"/>
        <w:rPr>
          <w:rFonts w:ascii="Times New Roman" w:hAnsi="Times New Roman"/>
          <w:b/>
        </w:rPr>
      </w:pPr>
      <w:r w:rsidRPr="00BB5D1A">
        <w:rPr>
          <w:rFonts w:ascii="Times New Roman" w:hAnsi="Times New Roman"/>
          <w:b/>
        </w:rPr>
        <w:t>Расчеты по инкассо.</w:t>
      </w:r>
    </w:p>
    <w:p w:rsidR="00EF5CA1" w:rsidRPr="0067085E" w:rsidRDefault="00EF5CA1" w:rsidP="0067085E">
      <w:pPr>
        <w:widowControl w:val="0"/>
        <w:autoSpaceDE w:val="0"/>
        <w:autoSpaceDN w:val="0"/>
        <w:adjustRightInd w:val="0"/>
        <w:ind w:firstLine="567"/>
        <w:jc w:val="both"/>
        <w:rPr>
          <w:rFonts w:ascii="Times New Roman" w:hAnsi="Times New Roman"/>
        </w:rPr>
      </w:pPr>
      <w:r w:rsidRPr="0067085E">
        <w:rPr>
          <w:rFonts w:ascii="Times New Roman" w:hAnsi="Times New Roman"/>
          <w:bCs/>
        </w:rPr>
        <w:t>Инкассо</w:t>
      </w:r>
      <w:r w:rsidRPr="00BB5D1A">
        <w:rPr>
          <w:rFonts w:ascii="Times New Roman" w:hAnsi="Times New Roman"/>
          <w:lang w:val="en-US"/>
        </w:rPr>
        <w:t> </w:t>
      </w:r>
      <w:r w:rsidRPr="0067085E">
        <w:rPr>
          <w:rFonts w:ascii="Times New Roman" w:hAnsi="Times New Roman"/>
        </w:rPr>
        <w:t>— банковская расчётная операция, по</w:t>
      </w:r>
      <w:r w:rsidR="0016259E" w:rsidRPr="0067085E">
        <w:rPr>
          <w:rFonts w:ascii="Times New Roman" w:hAnsi="Times New Roman"/>
        </w:rPr>
        <w:t>средством которой банк по</w:t>
      </w:r>
      <w:r w:rsidRPr="0067085E">
        <w:rPr>
          <w:rFonts w:ascii="Times New Roman" w:hAnsi="Times New Roman"/>
        </w:rPr>
        <w:t xml:space="preserve"> поручению своего клиента получает на основании расчётных документов причитающиеся клиенту денежные средства от плательщика за отгруженные в адрес плательщика товарно-материальные ценности и оказанные услуги и зачисляет эти средства на счёт клиента в банке.</w:t>
      </w:r>
    </w:p>
    <w:p w:rsidR="00EF5CA1" w:rsidRPr="0067085E" w:rsidRDefault="00EF5CA1"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Инкассо может быть чистым и документарным.</w:t>
      </w:r>
    </w:p>
    <w:p w:rsidR="00EF5CA1" w:rsidRPr="0067085E" w:rsidRDefault="00EF5CA1" w:rsidP="0067085E">
      <w:pPr>
        <w:widowControl w:val="0"/>
        <w:autoSpaceDE w:val="0"/>
        <w:autoSpaceDN w:val="0"/>
        <w:adjustRightInd w:val="0"/>
        <w:ind w:firstLine="567"/>
        <w:jc w:val="both"/>
        <w:rPr>
          <w:rFonts w:ascii="Times New Roman" w:hAnsi="Times New Roman"/>
        </w:rPr>
      </w:pPr>
      <w:r w:rsidRPr="0067085E">
        <w:rPr>
          <w:rFonts w:ascii="Times New Roman" w:hAnsi="Times New Roman"/>
          <w:bCs/>
        </w:rPr>
        <w:t>Чистое инкассо</w:t>
      </w:r>
      <w:r w:rsidRPr="00BB5D1A">
        <w:rPr>
          <w:rFonts w:ascii="Times New Roman" w:hAnsi="Times New Roman"/>
          <w:lang w:val="en-US"/>
        </w:rPr>
        <w:t> </w:t>
      </w:r>
      <w:r w:rsidRPr="0067085E">
        <w:rPr>
          <w:rFonts w:ascii="Times New Roman" w:hAnsi="Times New Roman"/>
        </w:rPr>
        <w:t xml:space="preserve">— это инкассо финансовых документов (переводные и простые </w:t>
      </w:r>
      <w:hyperlink r:id="rId17" w:history="1">
        <w:r w:rsidRPr="0067085E">
          <w:rPr>
            <w:rFonts w:ascii="Times New Roman" w:hAnsi="Times New Roman"/>
          </w:rPr>
          <w:t>векселя</w:t>
        </w:r>
      </w:hyperlink>
      <w:r w:rsidRPr="0067085E">
        <w:rPr>
          <w:rFonts w:ascii="Times New Roman" w:hAnsi="Times New Roman"/>
        </w:rPr>
        <w:t xml:space="preserve">, </w:t>
      </w:r>
      <w:hyperlink r:id="rId18" w:history="1">
        <w:r w:rsidRPr="0067085E">
          <w:rPr>
            <w:rFonts w:ascii="Times New Roman" w:hAnsi="Times New Roman"/>
          </w:rPr>
          <w:t>чеки</w:t>
        </w:r>
      </w:hyperlink>
      <w:r w:rsidRPr="0067085E">
        <w:rPr>
          <w:rFonts w:ascii="Times New Roman" w:hAnsi="Times New Roman"/>
        </w:rPr>
        <w:t xml:space="preserve"> и другие подобные документы, используемые для получения платежей), когда они не сопровождаются коммерческими документами.</w:t>
      </w:r>
    </w:p>
    <w:p w:rsidR="00EF5CA1" w:rsidRPr="0067085E" w:rsidRDefault="00EF5CA1" w:rsidP="0067085E">
      <w:pPr>
        <w:widowControl w:val="0"/>
        <w:autoSpaceDE w:val="0"/>
        <w:autoSpaceDN w:val="0"/>
        <w:adjustRightInd w:val="0"/>
        <w:ind w:firstLine="567"/>
        <w:jc w:val="both"/>
        <w:rPr>
          <w:rFonts w:ascii="Times New Roman" w:hAnsi="Times New Roman"/>
        </w:rPr>
      </w:pPr>
      <w:r w:rsidRPr="0067085E">
        <w:rPr>
          <w:rFonts w:ascii="Times New Roman" w:hAnsi="Times New Roman"/>
          <w:bCs/>
        </w:rPr>
        <w:t>Документарное инкассо</w:t>
      </w:r>
      <w:r w:rsidRPr="00BB5D1A">
        <w:rPr>
          <w:rFonts w:ascii="Times New Roman" w:hAnsi="Times New Roman"/>
          <w:lang w:val="en-US"/>
        </w:rPr>
        <w:t> </w:t>
      </w:r>
      <w:r w:rsidRPr="0067085E">
        <w:rPr>
          <w:rFonts w:ascii="Times New Roman" w:hAnsi="Times New Roman"/>
        </w:rPr>
        <w:t>— это инкассо финансовых документов, сопровождаемых коммерческими документами (счета, транспортные и страховые документы и пр.), а также инкассо только коммерческих документов. Документарное инкассо в международной торговле представляет собой обязательство банка получить по поручению экспортёра от импортёра сумму платежа по контракту против передачи последнему товарных документов и перечислить её экспортёру.</w:t>
      </w:r>
    </w:p>
    <w:p w:rsidR="006F2666" w:rsidRDefault="006F2666" w:rsidP="0067085E">
      <w:pPr>
        <w:widowControl w:val="0"/>
        <w:autoSpaceDE w:val="0"/>
        <w:autoSpaceDN w:val="0"/>
        <w:adjustRightInd w:val="0"/>
        <w:jc w:val="center"/>
        <w:rPr>
          <w:rFonts w:ascii="Times New Roman" w:hAnsi="Times New Roman"/>
          <w:b/>
        </w:rPr>
      </w:pPr>
    </w:p>
    <w:p w:rsidR="00EF5CA1" w:rsidRPr="0067085E" w:rsidRDefault="00EF5CA1" w:rsidP="0067085E">
      <w:pPr>
        <w:widowControl w:val="0"/>
        <w:autoSpaceDE w:val="0"/>
        <w:autoSpaceDN w:val="0"/>
        <w:adjustRightInd w:val="0"/>
        <w:jc w:val="center"/>
        <w:rPr>
          <w:rFonts w:ascii="Times New Roman" w:hAnsi="Times New Roman"/>
          <w:b/>
        </w:rPr>
      </w:pPr>
      <w:r w:rsidRPr="0067085E">
        <w:rPr>
          <w:rFonts w:ascii="Times New Roman" w:hAnsi="Times New Roman"/>
          <w:b/>
        </w:rPr>
        <w:t>Расчеты  по платежным требованиям.</w:t>
      </w:r>
    </w:p>
    <w:p w:rsidR="00EF5CA1" w:rsidRPr="0067085E" w:rsidRDefault="0067085E" w:rsidP="0067085E">
      <w:pPr>
        <w:widowControl w:val="0"/>
        <w:autoSpaceDE w:val="0"/>
        <w:autoSpaceDN w:val="0"/>
        <w:adjustRightInd w:val="0"/>
        <w:ind w:firstLine="567"/>
        <w:jc w:val="both"/>
        <w:rPr>
          <w:rFonts w:ascii="Times New Roman" w:hAnsi="Times New Roman"/>
        </w:rPr>
      </w:pPr>
      <w:r>
        <w:rPr>
          <w:rFonts w:ascii="Times New Roman" w:hAnsi="Times New Roman"/>
          <w:bCs/>
        </w:rPr>
        <w:t>Платёжное тре</w:t>
      </w:r>
      <w:r w:rsidR="00EF5CA1" w:rsidRPr="0067085E">
        <w:rPr>
          <w:rFonts w:ascii="Times New Roman" w:hAnsi="Times New Roman"/>
          <w:bCs/>
        </w:rPr>
        <w:t>бование</w:t>
      </w:r>
      <w:r w:rsidR="00EF5CA1" w:rsidRPr="0067085E">
        <w:rPr>
          <w:rFonts w:ascii="Times New Roman" w:hAnsi="Times New Roman"/>
        </w:rPr>
        <w:t xml:space="preserve"> </w:t>
      </w:r>
      <w:r w:rsidR="00EF5CA1" w:rsidRPr="00BB5D1A">
        <w:rPr>
          <w:rFonts w:ascii="Times New Roman" w:hAnsi="Times New Roman"/>
          <w:lang w:val="en-US"/>
        </w:rPr>
        <w:t> </w:t>
      </w:r>
      <w:r w:rsidR="00EF5CA1" w:rsidRPr="0067085E">
        <w:rPr>
          <w:rFonts w:ascii="Times New Roman" w:hAnsi="Times New Roman"/>
        </w:rPr>
        <w:t xml:space="preserve">— это расчётный документ, содержащий требование кредитора (поставщика) к должнику (плательщику) об уплате определённой денежной суммы через </w:t>
      </w:r>
      <w:hyperlink r:id="rId19" w:history="1">
        <w:r w:rsidR="00EF5CA1" w:rsidRPr="0067085E">
          <w:rPr>
            <w:rFonts w:ascii="Times New Roman" w:hAnsi="Times New Roman"/>
          </w:rPr>
          <w:t>банк</w:t>
        </w:r>
      </w:hyperlink>
      <w:r w:rsidR="00EF5CA1" w:rsidRPr="0067085E">
        <w:rPr>
          <w:rFonts w:ascii="Times New Roman" w:hAnsi="Times New Roman"/>
        </w:rPr>
        <w:t>.</w:t>
      </w:r>
    </w:p>
    <w:p w:rsidR="00EF5CA1" w:rsidRPr="0067085E" w:rsidRDefault="00EF5CA1"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Наибольшее распространение платёжные требования получили при командно-административной экономике.</w:t>
      </w:r>
    </w:p>
    <w:p w:rsidR="00A83EF6" w:rsidRPr="0067085E" w:rsidRDefault="00A83EF6" w:rsidP="0067085E">
      <w:pPr>
        <w:widowControl w:val="0"/>
        <w:autoSpaceDE w:val="0"/>
        <w:autoSpaceDN w:val="0"/>
        <w:adjustRightInd w:val="0"/>
        <w:ind w:firstLine="567"/>
        <w:jc w:val="both"/>
        <w:rPr>
          <w:rFonts w:ascii="Times New Roman" w:hAnsi="Times New Roman"/>
        </w:rPr>
      </w:pPr>
    </w:p>
    <w:p w:rsidR="00A83EF6" w:rsidRPr="0067085E" w:rsidRDefault="00F20509" w:rsidP="0067085E">
      <w:pPr>
        <w:widowControl w:val="0"/>
        <w:autoSpaceDE w:val="0"/>
        <w:autoSpaceDN w:val="0"/>
        <w:adjustRightInd w:val="0"/>
        <w:jc w:val="center"/>
        <w:rPr>
          <w:rFonts w:ascii="Times New Roman" w:hAnsi="Times New Roman"/>
          <w:b/>
        </w:rPr>
      </w:pPr>
      <w:r>
        <w:rPr>
          <w:rFonts w:ascii="Times New Roman" w:hAnsi="Times New Roman"/>
          <w:b/>
        </w:rPr>
        <w:t>4</w:t>
      </w:r>
      <w:r w:rsidR="006F2666">
        <w:rPr>
          <w:rFonts w:ascii="Times New Roman" w:hAnsi="Times New Roman"/>
          <w:b/>
        </w:rPr>
        <w:t xml:space="preserve">. </w:t>
      </w:r>
      <w:r w:rsidR="00A83EF6" w:rsidRPr="0067085E">
        <w:rPr>
          <w:rFonts w:ascii="Times New Roman" w:hAnsi="Times New Roman"/>
          <w:b/>
        </w:rPr>
        <w:t>Безналичные расчеты в Российской федерации.</w:t>
      </w:r>
    </w:p>
    <w:p w:rsidR="0067085E" w:rsidRDefault="00A83EF6"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Безналичные расчеты являются преобладающей формой денежных расчетов в экономике. В настоящее время структура денежного оборота Российской Федерации весьма нерациональна и характеризуется высокой долей наличных денег.</w:t>
      </w:r>
      <w:r w:rsidR="000B42AC" w:rsidRPr="0067085E">
        <w:rPr>
          <w:rFonts w:ascii="Times New Roman" w:hAnsi="Times New Roman"/>
        </w:rPr>
        <w:t xml:space="preserve"> Объем безналичных платежей в прошлом году составил около 19 млрд рублей, и доля безналичных средств в денежной массе растет (с 65% в 2005 году до 76% в 2012-м). </w:t>
      </w:r>
    </w:p>
    <w:p w:rsidR="0067085E" w:rsidRDefault="0067085E" w:rsidP="0067085E">
      <w:pPr>
        <w:jc w:val="right"/>
        <w:rPr>
          <w:rFonts w:ascii="Times New Roman" w:hAnsi="Times New Roman"/>
        </w:rPr>
      </w:pPr>
      <w:r>
        <w:rPr>
          <w:rFonts w:ascii="Times New Roman" w:hAnsi="Times New Roman"/>
        </w:rPr>
        <w:t>Таблица 1</w:t>
      </w:r>
    </w:p>
    <w:p w:rsidR="0067085E" w:rsidRPr="0067085E" w:rsidRDefault="0067085E" w:rsidP="0067085E">
      <w:pPr>
        <w:jc w:val="center"/>
        <w:rPr>
          <w:rFonts w:ascii="Times New Roman" w:hAnsi="Times New Roman"/>
          <w:b/>
        </w:rPr>
      </w:pPr>
      <w:r w:rsidRPr="0067085E">
        <w:rPr>
          <w:rFonts w:ascii="Times New Roman" w:hAnsi="Times New Roman"/>
          <w:b/>
        </w:rPr>
        <w:t>Удельный вес безналичных расчетов в структуре денежной массы страны</w:t>
      </w:r>
    </w:p>
    <w:tbl>
      <w:tblPr>
        <w:tblW w:w="8772" w:type="dxa"/>
        <w:jc w:val="center"/>
        <w:tblCellSpacing w:w="7" w:type="dxa"/>
        <w:tblInd w:w="-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977"/>
        <w:gridCol w:w="1982"/>
        <w:gridCol w:w="3260"/>
        <w:gridCol w:w="2553"/>
      </w:tblGrid>
      <w:tr w:rsidR="0067085E" w:rsidRPr="00FE3905" w:rsidTr="00F20509">
        <w:trPr>
          <w:trHeight w:val="646"/>
          <w:tblCellSpacing w:w="7" w:type="dxa"/>
          <w:jc w:val="center"/>
        </w:trPr>
        <w:tc>
          <w:tcPr>
            <w:tcW w:w="545" w:type="pct"/>
            <w:shd w:val="clear" w:color="auto" w:fill="99CCFF"/>
            <w:vAlign w:val="bottom"/>
            <w:hideMark/>
          </w:tcPr>
          <w:p w:rsidR="0067085E" w:rsidRPr="00FE3905" w:rsidRDefault="0067085E" w:rsidP="0067085E">
            <w:pPr>
              <w:rPr>
                <w:rFonts w:ascii="Times New Roman" w:eastAsia="Times New Roman" w:hAnsi="Times New Roman"/>
              </w:rPr>
            </w:pPr>
            <w:r w:rsidRPr="00FE3905">
              <w:rPr>
                <w:rFonts w:ascii="Times New Roman" w:eastAsia="Times New Roman" w:hAnsi="Times New Roman"/>
              </w:rPr>
              <w:t> </w:t>
            </w:r>
          </w:p>
        </w:tc>
        <w:tc>
          <w:tcPr>
            <w:tcW w:w="1122" w:type="pct"/>
            <w:shd w:val="clear" w:color="auto" w:fill="99CCFF"/>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rPr>
              <w:t>Денежная масса (М2) млрд. рублей</w:t>
            </w:r>
          </w:p>
        </w:tc>
        <w:tc>
          <w:tcPr>
            <w:tcW w:w="1850" w:type="pct"/>
            <w:tcBorders>
              <w:right w:val="single" w:sz="4" w:space="0" w:color="auto"/>
            </w:tcBorders>
            <w:shd w:val="clear" w:color="auto" w:fill="99CCFF"/>
            <w:vAlign w:val="bottom"/>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rPr>
              <w:t>В том числе безналичные средства, млрд.рублей</w:t>
            </w:r>
          </w:p>
        </w:tc>
        <w:tc>
          <w:tcPr>
            <w:tcW w:w="1443" w:type="pct"/>
            <w:tcBorders>
              <w:left w:val="single" w:sz="4" w:space="0" w:color="auto"/>
            </w:tcBorders>
            <w:shd w:val="clear" w:color="auto" w:fill="99CCFF"/>
            <w:vAlign w:val="bottom"/>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rPr>
              <w:t>Удельный вес безналичных средств в М2, %</w:t>
            </w:r>
          </w:p>
        </w:tc>
      </w:tr>
      <w:tr w:rsidR="0067085E" w:rsidRPr="00FE3905" w:rsidTr="00F20509">
        <w:trPr>
          <w:tblCellSpacing w:w="7" w:type="dxa"/>
          <w:jc w:val="center"/>
        </w:trPr>
        <w:tc>
          <w:tcPr>
            <w:tcW w:w="545" w:type="pct"/>
            <w:vAlign w:val="center"/>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b/>
                <w:bCs/>
              </w:rPr>
              <w:t>2005</w:t>
            </w:r>
          </w:p>
        </w:tc>
        <w:tc>
          <w:tcPr>
            <w:tcW w:w="1122"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4353,9</w:t>
            </w:r>
          </w:p>
        </w:tc>
        <w:tc>
          <w:tcPr>
            <w:tcW w:w="1850"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2819,1</w:t>
            </w:r>
          </w:p>
        </w:tc>
        <w:tc>
          <w:tcPr>
            <w:tcW w:w="1443"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64,75</w:t>
            </w:r>
          </w:p>
        </w:tc>
      </w:tr>
      <w:tr w:rsidR="0067085E" w:rsidRPr="00FE3905" w:rsidTr="00F20509">
        <w:trPr>
          <w:tblCellSpacing w:w="7" w:type="dxa"/>
          <w:jc w:val="center"/>
        </w:trPr>
        <w:tc>
          <w:tcPr>
            <w:tcW w:w="545" w:type="pct"/>
            <w:vAlign w:val="center"/>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b/>
                <w:bCs/>
              </w:rPr>
              <w:t>2006</w:t>
            </w:r>
          </w:p>
        </w:tc>
        <w:tc>
          <w:tcPr>
            <w:tcW w:w="1122"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6032,1</w:t>
            </w:r>
          </w:p>
        </w:tc>
        <w:tc>
          <w:tcPr>
            <w:tcW w:w="1850"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4022,9</w:t>
            </w:r>
          </w:p>
        </w:tc>
        <w:tc>
          <w:tcPr>
            <w:tcW w:w="1443"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66,69</w:t>
            </w:r>
          </w:p>
        </w:tc>
      </w:tr>
      <w:tr w:rsidR="0067085E" w:rsidRPr="00FE3905" w:rsidTr="00F20509">
        <w:trPr>
          <w:tblCellSpacing w:w="7" w:type="dxa"/>
          <w:jc w:val="center"/>
        </w:trPr>
        <w:tc>
          <w:tcPr>
            <w:tcW w:w="545" w:type="pct"/>
            <w:vAlign w:val="center"/>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b/>
                <w:bCs/>
              </w:rPr>
              <w:t>2007</w:t>
            </w:r>
          </w:p>
        </w:tc>
        <w:tc>
          <w:tcPr>
            <w:tcW w:w="1122"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8970,7</w:t>
            </w:r>
          </w:p>
        </w:tc>
        <w:tc>
          <w:tcPr>
            <w:tcW w:w="1850"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6185,6</w:t>
            </w:r>
          </w:p>
        </w:tc>
        <w:tc>
          <w:tcPr>
            <w:tcW w:w="1443"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68,95</w:t>
            </w:r>
          </w:p>
        </w:tc>
      </w:tr>
      <w:tr w:rsidR="0067085E" w:rsidRPr="00FE3905" w:rsidTr="00F20509">
        <w:trPr>
          <w:tblCellSpacing w:w="7" w:type="dxa"/>
          <w:jc w:val="center"/>
        </w:trPr>
        <w:tc>
          <w:tcPr>
            <w:tcW w:w="545" w:type="pct"/>
            <w:vAlign w:val="center"/>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b/>
                <w:bCs/>
              </w:rPr>
              <w:t>2008</w:t>
            </w:r>
          </w:p>
        </w:tc>
        <w:tc>
          <w:tcPr>
            <w:tcW w:w="1122"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12869</w:t>
            </w:r>
          </w:p>
        </w:tc>
        <w:tc>
          <w:tcPr>
            <w:tcW w:w="1850"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9166,7</w:t>
            </w:r>
          </w:p>
        </w:tc>
        <w:tc>
          <w:tcPr>
            <w:tcW w:w="1443"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71,23</w:t>
            </w:r>
          </w:p>
        </w:tc>
      </w:tr>
      <w:tr w:rsidR="0067085E" w:rsidRPr="00FE3905" w:rsidTr="00F20509">
        <w:trPr>
          <w:tblCellSpacing w:w="7" w:type="dxa"/>
          <w:jc w:val="center"/>
        </w:trPr>
        <w:tc>
          <w:tcPr>
            <w:tcW w:w="545" w:type="pct"/>
            <w:vAlign w:val="center"/>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b/>
                <w:bCs/>
              </w:rPr>
              <w:t>2009</w:t>
            </w:r>
          </w:p>
        </w:tc>
        <w:tc>
          <w:tcPr>
            <w:tcW w:w="1122"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12975,9</w:t>
            </w:r>
          </w:p>
        </w:tc>
        <w:tc>
          <w:tcPr>
            <w:tcW w:w="1850"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9181,1</w:t>
            </w:r>
          </w:p>
        </w:tc>
        <w:tc>
          <w:tcPr>
            <w:tcW w:w="1443"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70,76</w:t>
            </w:r>
          </w:p>
        </w:tc>
      </w:tr>
      <w:tr w:rsidR="0067085E" w:rsidRPr="00FE3905" w:rsidTr="00F20509">
        <w:trPr>
          <w:tblCellSpacing w:w="7" w:type="dxa"/>
          <w:jc w:val="center"/>
        </w:trPr>
        <w:tc>
          <w:tcPr>
            <w:tcW w:w="545" w:type="pct"/>
            <w:vAlign w:val="center"/>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b/>
                <w:bCs/>
              </w:rPr>
              <w:t>2010</w:t>
            </w:r>
          </w:p>
        </w:tc>
        <w:tc>
          <w:tcPr>
            <w:tcW w:w="1122"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15267,6</w:t>
            </w:r>
          </w:p>
        </w:tc>
        <w:tc>
          <w:tcPr>
            <w:tcW w:w="1850"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11229,5</w:t>
            </w:r>
          </w:p>
        </w:tc>
        <w:tc>
          <w:tcPr>
            <w:tcW w:w="1443"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73,55</w:t>
            </w:r>
          </w:p>
        </w:tc>
      </w:tr>
      <w:tr w:rsidR="0067085E" w:rsidRPr="00FE3905" w:rsidTr="00F20509">
        <w:trPr>
          <w:tblCellSpacing w:w="7" w:type="dxa"/>
          <w:jc w:val="center"/>
        </w:trPr>
        <w:tc>
          <w:tcPr>
            <w:tcW w:w="545" w:type="pct"/>
            <w:vAlign w:val="center"/>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b/>
                <w:bCs/>
              </w:rPr>
              <w:t>2011</w:t>
            </w:r>
          </w:p>
        </w:tc>
        <w:tc>
          <w:tcPr>
            <w:tcW w:w="1122"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20011,9</w:t>
            </w:r>
          </w:p>
        </w:tc>
        <w:tc>
          <w:tcPr>
            <w:tcW w:w="1850"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14949,1</w:t>
            </w:r>
          </w:p>
        </w:tc>
        <w:tc>
          <w:tcPr>
            <w:tcW w:w="1443"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74,70</w:t>
            </w:r>
          </w:p>
        </w:tc>
      </w:tr>
      <w:tr w:rsidR="0067085E" w:rsidRPr="00FE3905" w:rsidTr="00F20509">
        <w:trPr>
          <w:tblCellSpacing w:w="7" w:type="dxa"/>
          <w:jc w:val="center"/>
        </w:trPr>
        <w:tc>
          <w:tcPr>
            <w:tcW w:w="545" w:type="pct"/>
            <w:vAlign w:val="center"/>
            <w:hideMark/>
          </w:tcPr>
          <w:p w:rsidR="0067085E" w:rsidRPr="00FE3905" w:rsidRDefault="0067085E" w:rsidP="0067085E">
            <w:pPr>
              <w:jc w:val="center"/>
              <w:rPr>
                <w:rFonts w:ascii="Times New Roman" w:eastAsia="Times New Roman" w:hAnsi="Times New Roman"/>
              </w:rPr>
            </w:pPr>
            <w:r w:rsidRPr="00FE3905">
              <w:rPr>
                <w:rFonts w:ascii="Times New Roman" w:eastAsia="Times New Roman" w:hAnsi="Times New Roman"/>
                <w:b/>
                <w:bCs/>
              </w:rPr>
              <w:t>2012</w:t>
            </w:r>
          </w:p>
        </w:tc>
        <w:tc>
          <w:tcPr>
            <w:tcW w:w="1122"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24543,4</w:t>
            </w:r>
          </w:p>
        </w:tc>
        <w:tc>
          <w:tcPr>
            <w:tcW w:w="1850"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18604,8</w:t>
            </w:r>
          </w:p>
        </w:tc>
        <w:tc>
          <w:tcPr>
            <w:tcW w:w="1443" w:type="pct"/>
            <w:vAlign w:val="bottom"/>
            <w:hideMark/>
          </w:tcPr>
          <w:p w:rsidR="0067085E" w:rsidRPr="00FE3905" w:rsidRDefault="0067085E" w:rsidP="0067085E">
            <w:pPr>
              <w:jc w:val="right"/>
              <w:rPr>
                <w:rFonts w:ascii="Times New Roman" w:hAnsi="Times New Roman"/>
                <w:color w:val="000000"/>
              </w:rPr>
            </w:pPr>
            <w:r w:rsidRPr="00FE3905">
              <w:rPr>
                <w:rFonts w:ascii="Times New Roman" w:hAnsi="Times New Roman"/>
                <w:color w:val="000000"/>
              </w:rPr>
              <w:t>75,80</w:t>
            </w:r>
          </w:p>
        </w:tc>
      </w:tr>
    </w:tbl>
    <w:p w:rsidR="0067085E" w:rsidRPr="004C1343" w:rsidRDefault="0067085E" w:rsidP="0067085E">
      <w:pPr>
        <w:rPr>
          <w:rFonts w:ascii="Times New Roman" w:hAnsi="Times New Roman"/>
        </w:rPr>
      </w:pPr>
      <w:r>
        <w:rPr>
          <w:rFonts w:ascii="Times New Roman" w:hAnsi="Times New Roman"/>
        </w:rPr>
        <w:t>Источник: Госкомстат России.</w:t>
      </w:r>
    </w:p>
    <w:p w:rsidR="0067085E" w:rsidRDefault="0067085E" w:rsidP="0067085E">
      <w:pPr>
        <w:widowControl w:val="0"/>
        <w:autoSpaceDE w:val="0"/>
        <w:autoSpaceDN w:val="0"/>
        <w:adjustRightInd w:val="0"/>
        <w:jc w:val="both"/>
        <w:rPr>
          <w:rFonts w:ascii="Times New Roman" w:hAnsi="Times New Roman"/>
        </w:rPr>
      </w:pPr>
    </w:p>
    <w:p w:rsidR="007C4E15" w:rsidRPr="0067085E" w:rsidRDefault="00EB0F7C"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Однако</w:t>
      </w:r>
      <w:r w:rsidR="000B42AC" w:rsidRPr="0067085E">
        <w:rPr>
          <w:rFonts w:ascii="Times New Roman" w:hAnsi="Times New Roman"/>
        </w:rPr>
        <w:t xml:space="preserve"> среди компаний, которые принимают к оплате банковские карты, доля безналичных платежей на данный момент невелика, в среднем она составляет 17%. А у половины опрошенных компаний эта доля вообще не превышает 10%. Почему все-таки наличные в России, в отличие от множества других стран, не сдают позиции? Да, понятно, что, имея дело с наличностью, проще уклоняться от уплаты налогов. И это, увы, важное для России соображение, но это не единственная причина.</w:t>
      </w:r>
      <w:r w:rsidR="00A83EF6" w:rsidRPr="0067085E">
        <w:rPr>
          <w:rFonts w:ascii="Times New Roman" w:hAnsi="Times New Roman"/>
        </w:rPr>
        <w:t xml:space="preserve"> </w:t>
      </w:r>
    </w:p>
    <w:p w:rsidR="000B42AC" w:rsidRPr="0067085E" w:rsidRDefault="007C4E15"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 xml:space="preserve">Один из важных аргументов против расчета по карточкам для компаний с большим количеством операций (прежде всего для супермаркетов и заведений </w:t>
      </w:r>
      <w:proofErr w:type="spellStart"/>
      <w:r w:rsidRPr="0067085E">
        <w:rPr>
          <w:rFonts w:ascii="Times New Roman" w:hAnsi="Times New Roman"/>
        </w:rPr>
        <w:t>фастфуда</w:t>
      </w:r>
      <w:proofErr w:type="spellEnd"/>
      <w:r w:rsidRPr="0067085E">
        <w:rPr>
          <w:rFonts w:ascii="Times New Roman" w:hAnsi="Times New Roman"/>
        </w:rPr>
        <w:t>) – это, конечно, скорость. Обслуживание безналичных операций требует больше времени, чем осуществление нал</w:t>
      </w:r>
      <w:r w:rsidR="00CF72C0" w:rsidRPr="0067085E">
        <w:rPr>
          <w:rFonts w:ascii="Times New Roman" w:hAnsi="Times New Roman"/>
        </w:rPr>
        <w:t>ичных платежей. Исследование</w:t>
      </w:r>
      <w:r w:rsidRPr="0067085E">
        <w:rPr>
          <w:rFonts w:ascii="Times New Roman" w:hAnsi="Times New Roman"/>
        </w:rPr>
        <w:t xml:space="preserve"> показало, что среднее время кассового обслуживания покупателя при наличных платежах составляет 1,8 минуты, в то время как среднее время кассового обслуживания покупателя при безналичных платежах – 2,2 минуты.</w:t>
      </w:r>
    </w:p>
    <w:p w:rsidR="007C4E15" w:rsidRPr="0067085E" w:rsidRDefault="007C4E15"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 xml:space="preserve">Еще одним минусом (и он уже распространяется на всех) является стоимость обслуживания. Средний размер торговой уступки по стандартным банковским картам заметно выше стоимости обслуживания наличного оборота. Особенно значителен этот разрыв при использовании </w:t>
      </w:r>
      <w:proofErr w:type="spellStart"/>
      <w:r w:rsidRPr="0067085E">
        <w:rPr>
          <w:rFonts w:ascii="Times New Roman" w:hAnsi="Times New Roman"/>
        </w:rPr>
        <w:t>интернет-эквайринга</w:t>
      </w:r>
      <w:proofErr w:type="spellEnd"/>
      <w:r w:rsidRPr="0067085E">
        <w:rPr>
          <w:rFonts w:ascii="Times New Roman" w:hAnsi="Times New Roman"/>
        </w:rPr>
        <w:t xml:space="preserve">. Монополистам на нашем рынке являются </w:t>
      </w:r>
      <w:r w:rsidRPr="00BB5D1A">
        <w:rPr>
          <w:rFonts w:ascii="Times New Roman" w:hAnsi="Times New Roman"/>
          <w:lang w:val="en-US"/>
        </w:rPr>
        <w:t>Visa</w:t>
      </w:r>
      <w:r w:rsidRPr="0067085E">
        <w:rPr>
          <w:rFonts w:ascii="Times New Roman" w:hAnsi="Times New Roman"/>
        </w:rPr>
        <w:t xml:space="preserve"> и </w:t>
      </w:r>
      <w:r w:rsidRPr="00BB5D1A">
        <w:rPr>
          <w:rFonts w:ascii="Times New Roman" w:hAnsi="Times New Roman"/>
          <w:lang w:val="en-US"/>
        </w:rPr>
        <w:t>MasterCard</w:t>
      </w:r>
      <w:r w:rsidRPr="0067085E">
        <w:rPr>
          <w:rFonts w:ascii="Times New Roman" w:hAnsi="Times New Roman"/>
        </w:rPr>
        <w:t xml:space="preserve">. Для этих карт ставка торговой уступки в среднем 2% (в диапазоне от 1,3 до 2,5%), в отдельных случаях ставка доходит до 3,2%. Прием к оплате карт </w:t>
      </w:r>
      <w:r w:rsidRPr="00BB5D1A">
        <w:rPr>
          <w:rFonts w:ascii="Times New Roman" w:hAnsi="Times New Roman"/>
          <w:lang w:val="en-US"/>
        </w:rPr>
        <w:t>American</w:t>
      </w:r>
      <w:r w:rsidRPr="0067085E">
        <w:rPr>
          <w:rFonts w:ascii="Times New Roman" w:hAnsi="Times New Roman"/>
        </w:rPr>
        <w:t xml:space="preserve"> </w:t>
      </w:r>
      <w:r w:rsidRPr="00BB5D1A">
        <w:rPr>
          <w:rFonts w:ascii="Times New Roman" w:hAnsi="Times New Roman"/>
          <w:lang w:val="en-US"/>
        </w:rPr>
        <w:t>Express</w:t>
      </w:r>
      <w:r w:rsidRPr="0067085E">
        <w:rPr>
          <w:rFonts w:ascii="Times New Roman" w:hAnsi="Times New Roman"/>
        </w:rPr>
        <w:t xml:space="preserve"> обходится дороже – ставка доходит до 4%. А стоимость обслуживания наличного оборота для двух третей компаний (66%) не превышает 1%, а для подавляющего большинства (89%) – меньше 2%.</w:t>
      </w:r>
      <w:r w:rsidRPr="00BB5D1A">
        <w:rPr>
          <w:rFonts w:ascii="Times New Roman" w:hAnsi="Times New Roman"/>
          <w:lang w:val="en-US"/>
        </w:rPr>
        <w:t> </w:t>
      </w:r>
    </w:p>
    <w:p w:rsidR="00FE2329" w:rsidRPr="0067085E" w:rsidRDefault="007C4E15"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lastRenderedPageBreak/>
        <w:t>Поскольку цена товара, как правило, одна для покупателя с наличным и безналичным способом оплаты, то высокая торговая уступка оказывается вычетом из дохода предприятия. Причем при возвращении покупки товар остается непроданным, а сумма уже уплаченной комиссии предприятию не возвращается.</w:t>
      </w:r>
    </w:p>
    <w:p w:rsidR="00FE2329" w:rsidRPr="0067085E" w:rsidRDefault="00E06FB9" w:rsidP="0067085E">
      <w:pPr>
        <w:widowControl w:val="0"/>
        <w:autoSpaceDE w:val="0"/>
        <w:autoSpaceDN w:val="0"/>
        <w:adjustRightInd w:val="0"/>
        <w:ind w:firstLine="567"/>
        <w:jc w:val="both"/>
        <w:rPr>
          <w:rFonts w:ascii="Times New Roman" w:hAnsi="Times New Roman"/>
        </w:rPr>
      </w:pPr>
      <w:r w:rsidRPr="00E06FB9">
        <w:rPr>
          <w:noProof/>
        </w:rPr>
        <w:pict>
          <v:shape id="_x0000_s1027" type="#_x0000_t75" style="position:absolute;left:0;text-align:left;margin-left:-2.75pt;margin-top:-27.2pt;width:464.15pt;height:235.2pt;z-index:251656704;visibility:visible;mso-wrap-distance-bottom:.03pt;mso-position-horizontal-relative:margin;mso-position-vertical-relative:margin" wrapcoords="-70 0 -70 21531 21635 21531 21635 0 -70 0">
            <v:imagedata r:id="rId20" o:title=""/>
            <w10:wrap type="tight" anchorx="margin" anchory="margin"/>
          </v:shape>
          <o:OLEObject Type="Embed" ProgID="Excel.Sheet.8" ShapeID="_x0000_s1027" DrawAspect="Content" ObjectID="_1427007659" r:id="rId21">
            <o:FieldCodes>\s</o:FieldCodes>
          </o:OLEObject>
        </w:pict>
      </w:r>
      <w:r w:rsidR="007C4E15" w:rsidRPr="0067085E">
        <w:rPr>
          <w:rFonts w:ascii="Times New Roman" w:hAnsi="Times New Roman"/>
        </w:rPr>
        <w:t xml:space="preserve">Половина представителей торговых компаний (51%) считают ставки торговой уступки по безналичным платежам завышенными, для 49% они кажутся приемлемыми, но желательно ее снижение. Величина торговой уступки разнится в зависимости от размера компании. Крупные федеральные торговые сети, как правило, имеют лучшие условия. </w:t>
      </w:r>
    </w:p>
    <w:p w:rsidR="007C4E15" w:rsidRPr="0067085E" w:rsidRDefault="007C4E15"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Еще один довод в пользу того, чтобы не пользоваться карточкой, – риски, связанные с безопасностью. Чуть менее трети опрошенных (27–30%) признали риски хищения или незаконных платежей высокими или очень высокими. Риск мошенничества с банковскими картами оценили как высокий или очень высокий 37% опрошенных представителей торговых компаний.</w:t>
      </w:r>
    </w:p>
    <w:p w:rsidR="007C4E15" w:rsidRPr="0067085E" w:rsidRDefault="00EB0F7C"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Итак, если смотреть на вещи глазами продавца, п</w:t>
      </w:r>
      <w:r w:rsidR="00CF72C0" w:rsidRPr="0067085E">
        <w:rPr>
          <w:rFonts w:ascii="Times New Roman" w:hAnsi="Times New Roman"/>
        </w:rPr>
        <w:t>ока все говорит против безналичного расчета. Но существует и по меньшей мере один довод за. Средняя сумма чека при безналичных платежах больше, чем при наличных. Причем разница впечатляющая.</w:t>
      </w:r>
      <w:r w:rsidR="00CF72C0" w:rsidRPr="00BB5D1A">
        <w:rPr>
          <w:rFonts w:ascii="Times New Roman" w:hAnsi="Times New Roman"/>
          <w:lang w:val="en-US"/>
        </w:rPr>
        <w:t> </w:t>
      </w:r>
      <w:r w:rsidR="00CF72C0" w:rsidRPr="0067085E">
        <w:rPr>
          <w:rFonts w:ascii="Times New Roman" w:hAnsi="Times New Roman"/>
        </w:rPr>
        <w:t>В магазинах у дома (шаговой доступности) средний чек при наличных платежах составляет 673 рубля, а при безналичных платежах – 1109, в супермаркетах – 911 и 1147 соответственно, в гипермаркетах – 1101 и 1300 соответственно. Это объясняется в большей степени психологией покупателей: мол, с деньгами расставаться легче, когда их не видят, не держат в руках.</w:t>
      </w:r>
      <w:r w:rsidR="00CF72C0" w:rsidRPr="00BB5D1A">
        <w:rPr>
          <w:rFonts w:ascii="Times New Roman" w:hAnsi="Times New Roman"/>
          <w:lang w:val="en-US"/>
        </w:rPr>
        <w:t> </w:t>
      </w:r>
      <w:r w:rsidR="00CF72C0" w:rsidRPr="0067085E">
        <w:rPr>
          <w:rFonts w:ascii="Times New Roman" w:hAnsi="Times New Roman"/>
        </w:rPr>
        <w:t>А потому продавцам выгоднее безналичные расчеты, даже с учетом всех вышеперечисленных их недостатков.</w:t>
      </w:r>
    </w:p>
    <w:p w:rsidR="00C07A4A" w:rsidRDefault="00EB0F7C"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Теперь рассмотрим роль безналичных расчетов для покупателей в России. 17 июня 2012 года Фондом общественного мнения был проведен опрос, в ходе которого выяснилось, что банковские карты используют лишь 40</w:t>
      </w:r>
      <w:r w:rsidRPr="00BB5D1A">
        <w:rPr>
          <w:rFonts w:ascii="Times New Roman" w:hAnsi="Times New Roman"/>
        </w:rPr>
        <w:t>% населения страны ( для сравнени</w:t>
      </w:r>
      <w:r w:rsidR="00EC70E8" w:rsidRPr="00BB5D1A">
        <w:rPr>
          <w:rFonts w:ascii="Times New Roman" w:hAnsi="Times New Roman"/>
        </w:rPr>
        <w:t>я</w:t>
      </w:r>
      <w:r w:rsidRPr="00BB5D1A">
        <w:rPr>
          <w:rFonts w:ascii="Times New Roman" w:hAnsi="Times New Roman"/>
        </w:rPr>
        <w:t>: в С</w:t>
      </w:r>
      <w:r w:rsidR="00EC70E8" w:rsidRPr="00BB5D1A">
        <w:rPr>
          <w:rFonts w:ascii="Times New Roman" w:hAnsi="Times New Roman"/>
        </w:rPr>
        <w:t>ША эта цифра больше в 1,5 раза) и еще 40 вообще не планируют их заводить. И то 78% владельцев карт пользуются ими только из-за того, что предприятие начисляет им зарплату на карточки, и отказаться от этого введения они не в силах. Летом 2012 года в 42 регионах России был проведен опрос, чтобы выяснить, для чего россияне используют свои бан</w:t>
      </w:r>
      <w:r w:rsidR="00E07B62">
        <w:rPr>
          <w:rFonts w:ascii="Times New Roman" w:hAnsi="Times New Roman"/>
        </w:rPr>
        <w:t>ковские карты. Оказалось, что 52</w:t>
      </w:r>
      <w:r w:rsidR="00EC70E8" w:rsidRPr="00BB5D1A">
        <w:rPr>
          <w:rFonts w:ascii="Times New Roman" w:hAnsi="Times New Roman"/>
        </w:rPr>
        <w:t xml:space="preserve">% </w:t>
      </w:r>
      <w:r w:rsidR="00C07A4A">
        <w:rPr>
          <w:rFonts w:ascii="Times New Roman" w:hAnsi="Times New Roman"/>
        </w:rPr>
        <w:t xml:space="preserve">никогда не используют карту в магазинах, 31% оплачивают покупки м помощью карты, если не имеют при себе наличности, 17% чаще всего платят картой. </w:t>
      </w:r>
    </w:p>
    <w:p w:rsidR="00E07B62" w:rsidRDefault="00E07B62" w:rsidP="0067085E">
      <w:pPr>
        <w:widowControl w:val="0"/>
        <w:autoSpaceDE w:val="0"/>
        <w:autoSpaceDN w:val="0"/>
        <w:adjustRightInd w:val="0"/>
        <w:ind w:firstLine="567"/>
        <w:jc w:val="both"/>
        <w:rPr>
          <w:rFonts w:ascii="Times New Roman" w:hAnsi="Times New Roman"/>
        </w:rPr>
      </w:pPr>
      <w:r>
        <w:rPr>
          <w:rFonts w:ascii="Times New Roman" w:hAnsi="Times New Roman"/>
        </w:rPr>
        <w:t xml:space="preserve">Почему же россияне так не любят банковские карты? 34% участников опроса не пользуются картой, так как считают, что их принимает недостаточное количество магазинов. 29% опрошенных считают такой способ оплаты попросту неудобным, так как это занимает много времени и за сохранность карты приходиться постоянно беспокоиться. </w:t>
      </w:r>
      <w:r>
        <w:rPr>
          <w:rFonts w:ascii="Times New Roman" w:hAnsi="Times New Roman"/>
        </w:rPr>
        <w:lastRenderedPageBreak/>
        <w:t xml:space="preserve">24% людей труднее себя контролировать при наличии кредитки. 4% придерживаются мнения, что цены в магазинах, принимающих карты, завышены. </w:t>
      </w:r>
    </w:p>
    <w:p w:rsidR="00C57E70" w:rsidRPr="0067085E" w:rsidRDefault="00E06FB9" w:rsidP="0067085E">
      <w:pPr>
        <w:widowControl w:val="0"/>
        <w:autoSpaceDE w:val="0"/>
        <w:autoSpaceDN w:val="0"/>
        <w:adjustRightInd w:val="0"/>
        <w:ind w:firstLine="567"/>
        <w:jc w:val="both"/>
        <w:rPr>
          <w:rFonts w:ascii="Times New Roman" w:hAnsi="Times New Roman"/>
        </w:rPr>
      </w:pPr>
      <w:r w:rsidRPr="00E06FB9">
        <w:rPr>
          <w:noProof/>
        </w:rPr>
        <w:pict>
          <v:shape id="_x0000_s1026" type="#_x0000_t75" style="position:absolute;left:0;text-align:left;margin-left:0;margin-top:152.4pt;width:462.4pt;height:246.65pt;z-index:251657728;visibility:visible;mso-wrap-distance-bottom:.21pt" wrapcoords="-70 0 -70 21532 21670 21532 21670 0 -70 0">
            <v:imagedata r:id="rId22" o:title=""/>
            <w10:wrap type="tight"/>
          </v:shape>
          <o:OLEObject Type="Embed" ProgID="Excel.Sheet.8" ShapeID="_x0000_s1026" DrawAspect="Content" ObjectID="_1427007660" r:id="rId23">
            <o:FieldCodes>\s</o:FieldCodes>
          </o:OLEObject>
        </w:pict>
      </w:r>
      <w:r w:rsidR="00C57E70" w:rsidRPr="0067085E">
        <w:rPr>
          <w:rFonts w:ascii="Times New Roman" w:hAnsi="Times New Roman"/>
        </w:rPr>
        <w:t xml:space="preserve">Велика роль безналичных расчетов </w:t>
      </w:r>
      <w:r w:rsidR="00222577" w:rsidRPr="0067085E">
        <w:rPr>
          <w:rFonts w:ascii="Times New Roman" w:hAnsi="Times New Roman"/>
        </w:rPr>
        <w:t>и в жизни школьников. У</w:t>
      </w:r>
      <w:r w:rsidR="00087C54" w:rsidRPr="0067085E">
        <w:rPr>
          <w:rFonts w:ascii="Times New Roman" w:hAnsi="Times New Roman"/>
        </w:rPr>
        <w:t xml:space="preserve">чащиеся </w:t>
      </w:r>
      <w:r w:rsidR="00C57E70" w:rsidRPr="0067085E">
        <w:rPr>
          <w:rFonts w:ascii="Times New Roman" w:hAnsi="Times New Roman"/>
        </w:rPr>
        <w:t>могут оформить социальную карту, которая в свою очередь является банковской картой Банка Москвы.</w:t>
      </w:r>
      <w:r w:rsidR="00770A87" w:rsidRPr="0067085E">
        <w:rPr>
          <w:rFonts w:ascii="Times New Roman" w:hAnsi="Times New Roman"/>
        </w:rPr>
        <w:t xml:space="preserve"> </w:t>
      </w:r>
      <w:r w:rsidR="00222577" w:rsidRPr="0067085E">
        <w:rPr>
          <w:rFonts w:ascii="Times New Roman" w:hAnsi="Times New Roman"/>
        </w:rPr>
        <w:t xml:space="preserve">Кроме того, во многих школах используется система оплаты банковскими карточками. Например, проект </w:t>
      </w:r>
      <w:proofErr w:type="spellStart"/>
      <w:r w:rsidR="00222577" w:rsidRPr="0067085E">
        <w:rPr>
          <w:rFonts w:ascii="Times New Roman" w:hAnsi="Times New Roman"/>
        </w:rPr>
        <w:t>ФиаБанка</w:t>
      </w:r>
      <w:proofErr w:type="spellEnd"/>
      <w:r w:rsidR="00222577" w:rsidRPr="0067085E">
        <w:rPr>
          <w:rFonts w:ascii="Times New Roman" w:hAnsi="Times New Roman"/>
        </w:rPr>
        <w:t xml:space="preserve"> “Школьная карта”. В 2007 году ЗАО “ФИА-БАНК” совместно с  тольяттинской школой №</w:t>
      </w:r>
      <w:r w:rsidR="00C01A8C" w:rsidRPr="0067085E">
        <w:rPr>
          <w:rFonts w:ascii="Times New Roman" w:hAnsi="Times New Roman"/>
        </w:rPr>
        <w:t xml:space="preserve">31 приступило к реализации проекта, учащимся одного из </w:t>
      </w:r>
      <w:proofErr w:type="spellStart"/>
      <w:r w:rsidR="00C01A8C" w:rsidRPr="0067085E">
        <w:rPr>
          <w:rFonts w:ascii="Times New Roman" w:hAnsi="Times New Roman"/>
        </w:rPr>
        <w:t>страших</w:t>
      </w:r>
      <w:proofErr w:type="spellEnd"/>
      <w:r w:rsidR="00C01A8C" w:rsidRPr="0067085E">
        <w:rPr>
          <w:rFonts w:ascii="Times New Roman" w:hAnsi="Times New Roman"/>
        </w:rPr>
        <w:t xml:space="preserve"> классов были выданы пластиковые карты, при помощи которых школьники могли оплачивать обеды в школьной столовой. Проект </w:t>
      </w:r>
      <w:proofErr w:type="spellStart"/>
      <w:r w:rsidR="00C01A8C" w:rsidRPr="0067085E">
        <w:rPr>
          <w:rFonts w:ascii="Times New Roman" w:hAnsi="Times New Roman"/>
        </w:rPr>
        <w:t>оказаля</w:t>
      </w:r>
      <w:proofErr w:type="spellEnd"/>
      <w:r w:rsidR="00C01A8C" w:rsidRPr="0067085E">
        <w:rPr>
          <w:rFonts w:ascii="Times New Roman" w:hAnsi="Times New Roman"/>
        </w:rPr>
        <w:t xml:space="preserve"> удачным и вскоре вышел за пределы Тольятти. Также был проведен эксперимент с введением в школах “Карты учащегося” и в Москве, он был признан успешным и получил поддержку Мосгордумы. Видимо, в течение ближайших двух-трех лет такие карты появятся у всех школьников столицы.</w:t>
      </w:r>
      <w:r w:rsidR="001C357B" w:rsidRPr="0067085E">
        <w:rPr>
          <w:rFonts w:ascii="Times New Roman" w:hAnsi="Times New Roman"/>
        </w:rPr>
        <w:t xml:space="preserve"> </w:t>
      </w:r>
    </w:p>
    <w:p w:rsidR="00E07B62" w:rsidRDefault="00E07B62" w:rsidP="00A20DDD">
      <w:pPr>
        <w:widowControl w:val="0"/>
        <w:autoSpaceDE w:val="0"/>
        <w:autoSpaceDN w:val="0"/>
        <w:adjustRightInd w:val="0"/>
        <w:ind w:firstLine="567"/>
        <w:jc w:val="center"/>
        <w:rPr>
          <w:rFonts w:ascii="Times New Roman" w:hAnsi="Times New Roman"/>
          <w:b/>
        </w:rPr>
      </w:pPr>
    </w:p>
    <w:p w:rsidR="00E07B62" w:rsidRDefault="00E07B62" w:rsidP="00A20DDD">
      <w:pPr>
        <w:widowControl w:val="0"/>
        <w:autoSpaceDE w:val="0"/>
        <w:autoSpaceDN w:val="0"/>
        <w:adjustRightInd w:val="0"/>
        <w:ind w:firstLine="567"/>
        <w:jc w:val="center"/>
        <w:rPr>
          <w:rFonts w:ascii="Times New Roman" w:hAnsi="Times New Roman"/>
          <w:b/>
        </w:rPr>
      </w:pPr>
    </w:p>
    <w:p w:rsidR="00A20DDD" w:rsidRDefault="00A20DDD" w:rsidP="00A20DDD">
      <w:pPr>
        <w:widowControl w:val="0"/>
        <w:autoSpaceDE w:val="0"/>
        <w:autoSpaceDN w:val="0"/>
        <w:adjustRightInd w:val="0"/>
        <w:ind w:firstLine="567"/>
        <w:jc w:val="center"/>
        <w:rPr>
          <w:rFonts w:ascii="Times New Roman" w:hAnsi="Times New Roman"/>
        </w:rPr>
      </w:pPr>
      <w:r w:rsidRPr="00A20DDD">
        <w:rPr>
          <w:rFonts w:ascii="Times New Roman" w:hAnsi="Times New Roman"/>
          <w:b/>
        </w:rPr>
        <w:t>5. Выводы</w:t>
      </w:r>
      <w:r>
        <w:rPr>
          <w:rFonts w:ascii="Times New Roman" w:hAnsi="Times New Roman"/>
        </w:rPr>
        <w:t>.</w:t>
      </w:r>
    </w:p>
    <w:p w:rsidR="00087C54" w:rsidRPr="0067085E" w:rsidRDefault="00087C54" w:rsidP="0067085E">
      <w:pPr>
        <w:widowControl w:val="0"/>
        <w:autoSpaceDE w:val="0"/>
        <w:autoSpaceDN w:val="0"/>
        <w:adjustRightInd w:val="0"/>
        <w:ind w:firstLine="567"/>
        <w:jc w:val="both"/>
        <w:rPr>
          <w:rFonts w:ascii="Times New Roman" w:hAnsi="Times New Roman"/>
        </w:rPr>
      </w:pPr>
      <w:r w:rsidRPr="0067085E">
        <w:rPr>
          <w:rFonts w:ascii="Times New Roman" w:hAnsi="Times New Roman"/>
        </w:rPr>
        <w:t xml:space="preserve">Безналичный оборот обслуживает движение товаров и услуг, капиталов и кредитов между всеми участниками процесса хозяйственной деятельности. От степени его организации зависят финансовая устойчивость субъектов рыночной экономики, полнота и своевременность формирования доходов бюджетов разных уровней и соответственно экономическая и политическая стабильность государства.  Поэтому создание стройной системы платежей, развитие системы безналичных расчетов имеют огромное значение для России. </w:t>
      </w:r>
    </w:p>
    <w:p w:rsidR="00A83EF6" w:rsidRPr="00FE3905" w:rsidRDefault="00FE3905" w:rsidP="0067085E">
      <w:pPr>
        <w:widowControl w:val="0"/>
        <w:autoSpaceDE w:val="0"/>
        <w:autoSpaceDN w:val="0"/>
        <w:adjustRightInd w:val="0"/>
        <w:ind w:firstLine="567"/>
        <w:jc w:val="both"/>
        <w:rPr>
          <w:rStyle w:val="apple-style-span"/>
          <w:rFonts w:ascii="Times New Roman" w:hAnsi="Times New Roman"/>
          <w:color w:val="000000"/>
        </w:rPr>
      </w:pPr>
      <w:r w:rsidRPr="00FE3905">
        <w:rPr>
          <w:rStyle w:val="apple-style-span"/>
          <w:rFonts w:ascii="Times New Roman" w:hAnsi="Times New Roman"/>
          <w:color w:val="000000"/>
        </w:rPr>
        <w:t>Организация денежных расчетов с использованием безналичных перечислений гораздо предпочтительнее платежей наличными деньгами, поскольку разрешает экономить наличные денежные средства, сокращать издержки обращения, выполнять контроль за операциями организаций, соблюдением ими налоговой, платежной и расчетной дисциплины.</w:t>
      </w:r>
    </w:p>
    <w:p w:rsidR="00A20DDD" w:rsidRPr="005707A3" w:rsidRDefault="00FE3905" w:rsidP="005707A3">
      <w:pPr>
        <w:widowControl w:val="0"/>
        <w:autoSpaceDE w:val="0"/>
        <w:autoSpaceDN w:val="0"/>
        <w:adjustRightInd w:val="0"/>
        <w:ind w:firstLine="567"/>
        <w:jc w:val="both"/>
        <w:rPr>
          <w:rFonts w:ascii="Times New Roman" w:hAnsi="Times New Roman"/>
          <w:color w:val="000000"/>
        </w:rPr>
      </w:pPr>
      <w:r>
        <w:rPr>
          <w:rStyle w:val="apple-style-span"/>
          <w:rFonts w:ascii="Times New Roman" w:hAnsi="Times New Roman"/>
          <w:color w:val="000000"/>
        </w:rPr>
        <w:t>Р</w:t>
      </w:r>
      <w:r w:rsidRPr="00FE3905">
        <w:rPr>
          <w:rStyle w:val="apple-style-span"/>
          <w:rFonts w:ascii="Times New Roman" w:hAnsi="Times New Roman"/>
          <w:color w:val="000000"/>
        </w:rPr>
        <w:t xml:space="preserve">асчеты с помощью банковских карт наиболее перспективны. В связи с этим </w:t>
      </w:r>
      <w:r w:rsidR="007C47F5">
        <w:rPr>
          <w:rStyle w:val="apple-style-span"/>
          <w:rFonts w:ascii="Times New Roman" w:hAnsi="Times New Roman"/>
          <w:color w:val="000000"/>
        </w:rPr>
        <w:t xml:space="preserve">требуются масштабные меры государственного уровня по увеличению оборота безналичных средств: </w:t>
      </w:r>
      <w:r w:rsidRPr="00FE3905">
        <w:rPr>
          <w:rStyle w:val="apple-style-span"/>
          <w:rFonts w:ascii="Times New Roman" w:hAnsi="Times New Roman"/>
          <w:color w:val="000000"/>
        </w:rPr>
        <w:t>развития действующего законодательства, сокращения теневого сектора экономики, дополнительных инвестиц</w:t>
      </w:r>
      <w:r w:rsidR="007C47F5">
        <w:rPr>
          <w:rStyle w:val="apple-style-span"/>
          <w:rFonts w:ascii="Times New Roman" w:hAnsi="Times New Roman"/>
          <w:color w:val="000000"/>
        </w:rPr>
        <w:t>ий в банковскую инфраструктуру</w:t>
      </w:r>
      <w:r w:rsidRPr="00FE3905">
        <w:rPr>
          <w:rStyle w:val="apple-style-span"/>
          <w:rFonts w:ascii="Times New Roman" w:hAnsi="Times New Roman"/>
          <w:color w:val="000000"/>
        </w:rPr>
        <w:t>. В будущем электронные расчеты с использованием банковских карт должны занять достойное место в платежной системе России.</w:t>
      </w:r>
    </w:p>
    <w:sectPr w:rsidR="00A20DDD" w:rsidRPr="005707A3" w:rsidSect="00223167">
      <w:footerReference w:type="even" r:id="rId24"/>
      <w:footerReference w:type="default" r:id="rId25"/>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62" w:rsidRDefault="00E07B62" w:rsidP="00F36BBB">
      <w:r>
        <w:separator/>
      </w:r>
    </w:p>
  </w:endnote>
  <w:endnote w:type="continuationSeparator" w:id="0">
    <w:p w:rsidR="00E07B62" w:rsidRDefault="00E07B62" w:rsidP="00F36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62" w:rsidRDefault="00E06FB9" w:rsidP="00671041">
    <w:pPr>
      <w:pStyle w:val="a3"/>
      <w:framePr w:wrap="around" w:vAnchor="text" w:hAnchor="margin" w:xAlign="right" w:y="1"/>
      <w:rPr>
        <w:rStyle w:val="a5"/>
      </w:rPr>
    </w:pPr>
    <w:r>
      <w:rPr>
        <w:rStyle w:val="a5"/>
      </w:rPr>
      <w:fldChar w:fldCharType="begin"/>
    </w:r>
    <w:r w:rsidR="00E07B62">
      <w:rPr>
        <w:rStyle w:val="a5"/>
      </w:rPr>
      <w:instrText xml:space="preserve">PAGE  </w:instrText>
    </w:r>
    <w:r>
      <w:rPr>
        <w:rStyle w:val="a5"/>
      </w:rPr>
      <w:fldChar w:fldCharType="end"/>
    </w:r>
  </w:p>
  <w:p w:rsidR="00E07B62" w:rsidRDefault="00E07B62" w:rsidP="00F36BB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62" w:rsidRDefault="00E06FB9">
    <w:pPr>
      <w:pStyle w:val="a3"/>
      <w:jc w:val="center"/>
    </w:pPr>
    <w:r>
      <w:fldChar w:fldCharType="begin"/>
    </w:r>
    <w:r w:rsidR="00E07B62">
      <w:instrText xml:space="preserve"> PAGE   \* MERGEFORMAT </w:instrText>
    </w:r>
    <w:r>
      <w:fldChar w:fldCharType="separate"/>
    </w:r>
    <w:r w:rsidR="005707A3">
      <w:rPr>
        <w:noProof/>
      </w:rPr>
      <w:t>2</w:t>
    </w:r>
    <w:r>
      <w:fldChar w:fldCharType="end"/>
    </w:r>
  </w:p>
  <w:p w:rsidR="00E07B62" w:rsidRDefault="00E07B62" w:rsidP="00F36BB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62" w:rsidRDefault="00E07B62" w:rsidP="00F36BBB">
      <w:r>
        <w:separator/>
      </w:r>
    </w:p>
  </w:footnote>
  <w:footnote w:type="continuationSeparator" w:id="0">
    <w:p w:rsidR="00E07B62" w:rsidRDefault="00E07B62" w:rsidP="00F36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50D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6B52E4"/>
    <w:multiLevelType w:val="hybridMultilevel"/>
    <w:tmpl w:val="9DAA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819AF"/>
    <w:multiLevelType w:val="hybridMultilevel"/>
    <w:tmpl w:val="19646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560C1"/>
    <w:multiLevelType w:val="hybridMultilevel"/>
    <w:tmpl w:val="0ED8BD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7C3E3972"/>
    <w:multiLevelType w:val="hybridMultilevel"/>
    <w:tmpl w:val="216EB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2CE6"/>
    <w:rsid w:val="00057BF4"/>
    <w:rsid w:val="00087C54"/>
    <w:rsid w:val="000B42AC"/>
    <w:rsid w:val="000C7C8B"/>
    <w:rsid w:val="0016259E"/>
    <w:rsid w:val="001C357B"/>
    <w:rsid w:val="00222577"/>
    <w:rsid w:val="00223167"/>
    <w:rsid w:val="003B30AF"/>
    <w:rsid w:val="00461B54"/>
    <w:rsid w:val="004669B6"/>
    <w:rsid w:val="004A2BE3"/>
    <w:rsid w:val="00502FD3"/>
    <w:rsid w:val="005154C8"/>
    <w:rsid w:val="005707A3"/>
    <w:rsid w:val="0057538A"/>
    <w:rsid w:val="00582891"/>
    <w:rsid w:val="00627541"/>
    <w:rsid w:val="0067085E"/>
    <w:rsid w:val="00671041"/>
    <w:rsid w:val="006712A1"/>
    <w:rsid w:val="006F2666"/>
    <w:rsid w:val="00711490"/>
    <w:rsid w:val="00714C74"/>
    <w:rsid w:val="00770A87"/>
    <w:rsid w:val="007C47F5"/>
    <w:rsid w:val="007C4E15"/>
    <w:rsid w:val="00962CE6"/>
    <w:rsid w:val="00972955"/>
    <w:rsid w:val="009B6F61"/>
    <w:rsid w:val="00A1283D"/>
    <w:rsid w:val="00A15EE5"/>
    <w:rsid w:val="00A20DDD"/>
    <w:rsid w:val="00A77083"/>
    <w:rsid w:val="00A83EF6"/>
    <w:rsid w:val="00AC498A"/>
    <w:rsid w:val="00BB5D1A"/>
    <w:rsid w:val="00C01A8C"/>
    <w:rsid w:val="00C07A4A"/>
    <w:rsid w:val="00C57E70"/>
    <w:rsid w:val="00CD5899"/>
    <w:rsid w:val="00CF72C0"/>
    <w:rsid w:val="00D91F7D"/>
    <w:rsid w:val="00DE5778"/>
    <w:rsid w:val="00DF274B"/>
    <w:rsid w:val="00E06FB9"/>
    <w:rsid w:val="00E07B62"/>
    <w:rsid w:val="00EB0F7C"/>
    <w:rsid w:val="00EC70E8"/>
    <w:rsid w:val="00EF5CA1"/>
    <w:rsid w:val="00F20509"/>
    <w:rsid w:val="00F36BBB"/>
    <w:rsid w:val="00FE2329"/>
    <w:rsid w:val="00FE3905"/>
  </w:rsids>
  <m:mathPr>
    <m:mathFont m:val="Cambria Math"/>
    <m:brkBin m:val="before"/>
    <m:brkBinSub m:val="--"/>
    <m:smallFrac m:val="off"/>
    <m:dispDef/>
    <m:lMargin m:val="0"/>
    <m:rMargin m:val="0"/>
    <m:defJc m:val="centerGroup"/>
    <m:wrapIndent m:val="1440"/>
    <m:intLim m:val="subSup"/>
    <m:naryLim m:val="undOvr"/>
  </m:mathPr>
  <w:uiCompat97To2003/>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6BBB"/>
    <w:pPr>
      <w:tabs>
        <w:tab w:val="center" w:pos="4677"/>
        <w:tab w:val="right" w:pos="9355"/>
      </w:tabs>
    </w:pPr>
  </w:style>
  <w:style w:type="character" w:customStyle="1" w:styleId="a4">
    <w:name w:val="Нижний колонтитул Знак"/>
    <w:basedOn w:val="a0"/>
    <w:link w:val="a3"/>
    <w:uiPriority w:val="99"/>
    <w:rsid w:val="00F36BBB"/>
  </w:style>
  <w:style w:type="character" w:styleId="a5">
    <w:name w:val="page number"/>
    <w:basedOn w:val="a0"/>
    <w:uiPriority w:val="99"/>
    <w:semiHidden/>
    <w:unhideWhenUsed/>
    <w:rsid w:val="00F36BBB"/>
  </w:style>
  <w:style w:type="paragraph" w:styleId="a6">
    <w:name w:val="Balloon Text"/>
    <w:basedOn w:val="a"/>
    <w:link w:val="a7"/>
    <w:uiPriority w:val="99"/>
    <w:semiHidden/>
    <w:unhideWhenUsed/>
    <w:rsid w:val="004669B6"/>
    <w:rPr>
      <w:rFonts w:ascii="Lucida Grande CY" w:hAnsi="Lucida Grande CY" w:cs="Lucida Grande CY"/>
      <w:sz w:val="18"/>
      <w:szCs w:val="18"/>
    </w:rPr>
  </w:style>
  <w:style w:type="character" w:customStyle="1" w:styleId="a7">
    <w:name w:val="Текст выноски Знак"/>
    <w:link w:val="a6"/>
    <w:uiPriority w:val="99"/>
    <w:semiHidden/>
    <w:rsid w:val="004669B6"/>
    <w:rPr>
      <w:rFonts w:ascii="Lucida Grande CY" w:hAnsi="Lucida Grande CY" w:cs="Lucida Grande CY"/>
      <w:sz w:val="18"/>
      <w:szCs w:val="18"/>
    </w:rPr>
  </w:style>
  <w:style w:type="paragraph" w:customStyle="1" w:styleId="p1">
    <w:name w:val="p1"/>
    <w:basedOn w:val="a"/>
    <w:rsid w:val="0067085E"/>
    <w:pPr>
      <w:spacing w:before="100" w:beforeAutospacing="1" w:after="100" w:afterAutospacing="1"/>
    </w:pPr>
    <w:rPr>
      <w:rFonts w:ascii="Times New Roman" w:eastAsia="Times New Roman" w:hAnsi="Times New Roman"/>
    </w:rPr>
  </w:style>
  <w:style w:type="character" w:customStyle="1" w:styleId="s1">
    <w:name w:val="s1"/>
    <w:basedOn w:val="a0"/>
    <w:rsid w:val="0067085E"/>
  </w:style>
  <w:style w:type="character" w:customStyle="1" w:styleId="s2">
    <w:name w:val="s2"/>
    <w:basedOn w:val="a0"/>
    <w:rsid w:val="0067085E"/>
  </w:style>
  <w:style w:type="paragraph" w:styleId="a8">
    <w:name w:val="List Paragraph"/>
    <w:basedOn w:val="a"/>
    <w:uiPriority w:val="34"/>
    <w:qFormat/>
    <w:rsid w:val="0067085E"/>
    <w:pPr>
      <w:ind w:left="720"/>
      <w:contextualSpacing/>
    </w:pPr>
  </w:style>
  <w:style w:type="character" w:customStyle="1" w:styleId="apple-style-span">
    <w:name w:val="apple-style-span"/>
    <w:basedOn w:val="a0"/>
    <w:rsid w:val="00FE3905"/>
  </w:style>
  <w:style w:type="paragraph" w:styleId="a9">
    <w:name w:val="header"/>
    <w:basedOn w:val="a"/>
    <w:link w:val="aa"/>
    <w:uiPriority w:val="99"/>
    <w:unhideWhenUsed/>
    <w:rsid w:val="00F20509"/>
    <w:pPr>
      <w:tabs>
        <w:tab w:val="center" w:pos="4677"/>
        <w:tab w:val="right" w:pos="9355"/>
      </w:tabs>
    </w:pPr>
  </w:style>
  <w:style w:type="character" w:customStyle="1" w:styleId="aa">
    <w:name w:val="Верхний колонтитул Знак"/>
    <w:link w:val="a9"/>
    <w:uiPriority w:val="99"/>
    <w:rsid w:val="00F20509"/>
    <w:rPr>
      <w:sz w:val="24"/>
      <w:szCs w:val="24"/>
    </w:rPr>
  </w:style>
  <w:style w:type="character" w:styleId="ab">
    <w:name w:val="Hyperlink"/>
    <w:uiPriority w:val="99"/>
    <w:unhideWhenUsed/>
    <w:rsid w:val="00A15EE5"/>
    <w:rPr>
      <w:color w:val="0000FF"/>
      <w:u w:val="single"/>
    </w:rPr>
  </w:style>
  <w:style w:type="character" w:styleId="ac">
    <w:name w:val="FollowedHyperlink"/>
    <w:uiPriority w:val="99"/>
    <w:semiHidden/>
    <w:unhideWhenUsed/>
    <w:rsid w:val="00A15EE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205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4%D1%80%D0%B0%D0%BD%D1%86%D1%83%D0%B7%D1%81%D0%BA%D0%B8%D0%B9_%D1%8F%D0%B7%D1%8B%D0%BA" TargetMode="External"/><Relationship Id="rId18" Type="http://schemas.openxmlformats.org/officeDocument/2006/relationships/hyperlink" Target="https://ru.wikipedia.org/wiki/%D0%A7%D0%B5%D0%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_____Microsoft_Office_Excel_97-20031.xls"/><Relationship Id="rId7" Type="http://schemas.openxmlformats.org/officeDocument/2006/relationships/endnotes" Target="endnotes.xml"/><Relationship Id="rId12" Type="http://schemas.openxmlformats.org/officeDocument/2006/relationships/hyperlink" Target="http://ru.wikipedia.org/w/index.php?title=Giro&amp;action=edit&amp;redlink=1" TargetMode="External"/><Relationship Id="rId17" Type="http://schemas.openxmlformats.org/officeDocument/2006/relationships/hyperlink" Target="https://ru.wikipedia.org/wiki/%D0%92%D0%B5%D0%BA%D1%81%D0%B5%D0%BB%D1%8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D0%91%D0%B0%D0%BD%D0%BA"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0%B0%D0%BD%D0%B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6%D0%B5%D0%BD%D0%BD%D0%B0%D1%8F_%D0%B1%D1%83%D0%BC%D0%B0%D0%B3%D0%B0" TargetMode="External"/><Relationship Id="rId23" Type="http://schemas.openxmlformats.org/officeDocument/2006/relationships/oleObject" Target="embeddings/_____Microsoft_Office_Excel_97-20032.xls"/><Relationship Id="rId28" Type="http://schemas.microsoft.com/office/2007/relationships/stylesWithEffects" Target="stylesWithEffects.xml"/><Relationship Id="rId10" Type="http://schemas.openxmlformats.org/officeDocument/2006/relationships/hyperlink" Target="http://ru.wikipedia.org/wiki/%D0%94%D0%B5%D0%BD%D1%8C%D0%B3%D0%B8" TargetMode="External"/><Relationship Id="rId19" Type="http://schemas.openxmlformats.org/officeDocument/2006/relationships/hyperlink" Target="https://ru.wikipedia.org/wiki/%D0%91%D0%B0%D0%BD%D0%BA" TargetMode="External"/><Relationship Id="rId4" Type="http://schemas.openxmlformats.org/officeDocument/2006/relationships/settings" Target="settings.xml"/><Relationship Id="rId9" Type="http://schemas.openxmlformats.org/officeDocument/2006/relationships/hyperlink" Target="http://ru.wikipedia.org/wiki/%D0%9F%D0%BB%D0%B0%D1%82%D0%B5%D0%B6" TargetMode="External"/><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DBE5-3EF2-41C4-8558-4F1933ED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240</Company>
  <LinksUpToDate>false</LinksUpToDate>
  <CharactersWithSpaces>18157</CharactersWithSpaces>
  <SharedDoc>false</SharedDoc>
  <HLinks>
    <vt:vector size="84" baseType="variant">
      <vt:variant>
        <vt:i4>786464</vt:i4>
      </vt:variant>
      <vt:variant>
        <vt:i4>39</vt:i4>
      </vt:variant>
      <vt:variant>
        <vt:i4>0</vt:i4>
      </vt:variant>
      <vt:variant>
        <vt:i4>5</vt:i4>
      </vt:variant>
      <vt:variant>
        <vt:lpwstr>http://ru.wikipedia.org/wiki/%C1%E5%E7%ED%E0%EB%E8%F7%ED%FB%E5_%F0%E0%F1%F7%B8%F2%FB</vt:lpwstr>
      </vt:variant>
      <vt:variant>
        <vt:lpwstr/>
      </vt:variant>
      <vt:variant>
        <vt:i4>2556008</vt:i4>
      </vt:variant>
      <vt:variant>
        <vt:i4>36</vt:i4>
      </vt:variant>
      <vt:variant>
        <vt:i4>0</vt:i4>
      </vt:variant>
      <vt:variant>
        <vt:i4>5</vt:i4>
      </vt:variant>
      <vt:variant>
        <vt:lpwstr>http://www.gks.ru/wps/wcm/connect/rosstat_main/rosstat/ru/statistics/finance/</vt:lpwstr>
      </vt:variant>
      <vt:variant>
        <vt:lpwstr/>
      </vt:variant>
      <vt:variant>
        <vt:i4>8192059</vt:i4>
      </vt:variant>
      <vt:variant>
        <vt:i4>33</vt:i4>
      </vt:variant>
      <vt:variant>
        <vt:i4>0</vt:i4>
      </vt:variant>
      <vt:variant>
        <vt:i4>5</vt:i4>
      </vt:variant>
      <vt:variant>
        <vt:lpwstr>http://slon.ru/money/pochemu_rossiyskie_torgovtsy_ne_lyubyat_kartochki-847755.xhtml</vt:lpwstr>
      </vt:variant>
      <vt:variant>
        <vt:lpwstr/>
      </vt:variant>
      <vt:variant>
        <vt:i4>3276856</vt:i4>
      </vt:variant>
      <vt:variant>
        <vt:i4>30</vt:i4>
      </vt:variant>
      <vt:variant>
        <vt:i4>0</vt:i4>
      </vt:variant>
      <vt:variant>
        <vt:i4>5</vt:i4>
      </vt:variant>
      <vt:variant>
        <vt:lpwstr>https://ru.wikipedia.org/wiki/%D0%91%D0%B0%D0%BD%D0%BA</vt:lpwstr>
      </vt:variant>
      <vt:variant>
        <vt:lpwstr/>
      </vt:variant>
      <vt:variant>
        <vt:i4>1310743</vt:i4>
      </vt:variant>
      <vt:variant>
        <vt:i4>27</vt:i4>
      </vt:variant>
      <vt:variant>
        <vt:i4>0</vt:i4>
      </vt:variant>
      <vt:variant>
        <vt:i4>5</vt:i4>
      </vt:variant>
      <vt:variant>
        <vt:lpwstr>https://ru.wikipedia.org/wiki/%D0%A7%D0%B5%D0%BA</vt:lpwstr>
      </vt:variant>
      <vt:variant>
        <vt:lpwstr/>
      </vt:variant>
      <vt:variant>
        <vt:i4>1310799</vt:i4>
      </vt:variant>
      <vt:variant>
        <vt:i4>24</vt:i4>
      </vt:variant>
      <vt:variant>
        <vt:i4>0</vt:i4>
      </vt:variant>
      <vt:variant>
        <vt:i4>5</vt:i4>
      </vt:variant>
      <vt:variant>
        <vt:lpwstr>https://ru.wikipedia.org/wiki/%D0%92%D0%B5%D0%BA%D1%81%D0%B5%D0%BB%D1%8C</vt:lpwstr>
      </vt:variant>
      <vt:variant>
        <vt:lpwstr/>
      </vt:variant>
      <vt:variant>
        <vt:i4>3276856</vt:i4>
      </vt:variant>
      <vt:variant>
        <vt:i4>21</vt:i4>
      </vt:variant>
      <vt:variant>
        <vt:i4>0</vt:i4>
      </vt:variant>
      <vt:variant>
        <vt:i4>5</vt:i4>
      </vt:variant>
      <vt:variant>
        <vt:lpwstr>https://ru.wikipedia.org/wiki/%D0%91%D0%B0%D0%BD%D0%BA</vt:lpwstr>
      </vt:variant>
      <vt:variant>
        <vt:lpwstr/>
      </vt:variant>
      <vt:variant>
        <vt:i4>3670070</vt:i4>
      </vt:variant>
      <vt:variant>
        <vt:i4>18</vt:i4>
      </vt:variant>
      <vt:variant>
        <vt:i4>0</vt:i4>
      </vt:variant>
      <vt:variant>
        <vt:i4>5</vt:i4>
      </vt:variant>
      <vt:variant>
        <vt:lpwstr>https://ru.wikipedia.org/wiki/%D0%A6%D0%B5%D0%BD%D0%BD%D0%B0%D1%8F_%D0%B1%D1%83%D0%BC%D0%B0%D0%B3%D0%B0</vt:lpwstr>
      </vt:variant>
      <vt:variant>
        <vt:lpwstr/>
      </vt:variant>
      <vt:variant>
        <vt:i4>6488174</vt:i4>
      </vt:variant>
      <vt:variant>
        <vt:i4>15</vt:i4>
      </vt:variant>
      <vt:variant>
        <vt:i4>0</vt:i4>
      </vt:variant>
      <vt:variant>
        <vt:i4>5</vt:i4>
      </vt:variant>
      <vt:variant>
        <vt:lpwstr>https://ru.wikipedia.org/wiki/%D0%90%D0%BD%D0%B3%D0%BB%D0%B8%D0%B9%D1%81%D0%BA%D0%B8%D0%B9_%D1%8F%D0%B7%D1%8B%D0%BA</vt:lpwstr>
      </vt:variant>
      <vt:variant>
        <vt:lpwstr/>
      </vt:variant>
      <vt:variant>
        <vt:i4>4456474</vt:i4>
      </vt:variant>
      <vt:variant>
        <vt:i4>12</vt:i4>
      </vt:variant>
      <vt:variant>
        <vt:i4>0</vt:i4>
      </vt:variant>
      <vt:variant>
        <vt:i4>5</vt:i4>
      </vt:variant>
      <vt:variant>
        <vt:lpwstr>https://ru.wikipedia.org/wiki/%D0%A4%D1%80%D0%B0%D0%BD%D1%86%D1%83%D0%B7%D1%81%D0%BA%D0%B8%D0%B9_%D1%8F%D0%B7%D1%8B%D0%BA</vt:lpwstr>
      </vt:variant>
      <vt:variant>
        <vt:lpwstr/>
      </vt:variant>
      <vt:variant>
        <vt:i4>1638493</vt:i4>
      </vt:variant>
      <vt:variant>
        <vt:i4>9</vt:i4>
      </vt:variant>
      <vt:variant>
        <vt:i4>0</vt:i4>
      </vt:variant>
      <vt:variant>
        <vt:i4>5</vt:i4>
      </vt:variant>
      <vt:variant>
        <vt:lpwstr>http://ru.wikipedia.org/w/index.php?title=Giro&amp;action=edit&amp;redlink=1</vt:lpwstr>
      </vt:variant>
      <vt:variant>
        <vt:lpwstr/>
      </vt:variant>
      <vt:variant>
        <vt:i4>5439530</vt:i4>
      </vt:variant>
      <vt:variant>
        <vt:i4>6</vt:i4>
      </vt:variant>
      <vt:variant>
        <vt:i4>0</vt:i4>
      </vt:variant>
      <vt:variant>
        <vt:i4>5</vt:i4>
      </vt:variant>
      <vt:variant>
        <vt:lpwstr>http://ru.wikipedia.org/wiki/%D0%91%D0%B0%D0%BD%D0%BA</vt:lpwstr>
      </vt:variant>
      <vt:variant>
        <vt:lpwstr/>
      </vt:variant>
      <vt:variant>
        <vt:i4>524323</vt:i4>
      </vt:variant>
      <vt:variant>
        <vt:i4>3</vt:i4>
      </vt:variant>
      <vt:variant>
        <vt:i4>0</vt:i4>
      </vt:variant>
      <vt:variant>
        <vt:i4>5</vt:i4>
      </vt:variant>
      <vt:variant>
        <vt:lpwstr>http://ru.wikipedia.org/wiki/%D0%94%D0%B5%D0%BD%D1%8C%D0%B3%D0%B8</vt:lpwstr>
      </vt:variant>
      <vt:variant>
        <vt:lpwstr/>
      </vt:variant>
      <vt:variant>
        <vt:i4>524331</vt:i4>
      </vt:variant>
      <vt:variant>
        <vt:i4>0</vt:i4>
      </vt:variant>
      <vt:variant>
        <vt:i4>0</vt:i4>
      </vt:variant>
      <vt:variant>
        <vt:i4>5</vt:i4>
      </vt:variant>
      <vt:variant>
        <vt:lpwstr>http://ru.wikipedia.org/wiki/%D0%9F%D0%BB%D0%B0%D1%82%D0%B5%D0%B6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Сергиенко</dc:creator>
  <cp:keywords/>
  <cp:lastModifiedBy>USER  OLGA</cp:lastModifiedBy>
  <cp:revision>8</cp:revision>
  <cp:lastPrinted>2012-03-18T15:08:00Z</cp:lastPrinted>
  <dcterms:created xsi:type="dcterms:W3CDTF">2013-02-25T16:50:00Z</dcterms:created>
  <dcterms:modified xsi:type="dcterms:W3CDTF">2013-04-09T06:15:00Z</dcterms:modified>
</cp:coreProperties>
</file>